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B0" w:rsidRDefault="007508B0">
      <w:pPr>
        <w:pStyle w:val="BodyA"/>
        <w:jc w:val="center"/>
        <w:rPr>
          <w:b/>
          <w:bCs/>
          <w:sz w:val="32"/>
          <w:szCs w:val="32"/>
        </w:rPr>
      </w:pPr>
      <w:r>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2pt;height:166.2pt">
            <v:imagedata r:id="rId8" o:title="asg logo"/>
          </v:shape>
        </w:pict>
      </w:r>
    </w:p>
    <w:p w:rsidR="007508B0" w:rsidRDefault="007508B0">
      <w:pPr>
        <w:pStyle w:val="BodyA"/>
        <w:jc w:val="center"/>
        <w:rPr>
          <w:b/>
          <w:bCs/>
          <w:sz w:val="32"/>
          <w:szCs w:val="32"/>
        </w:rPr>
      </w:pPr>
    </w:p>
    <w:p w:rsidR="003A3F3A" w:rsidRDefault="00F64430">
      <w:pPr>
        <w:pStyle w:val="BodyA"/>
        <w:jc w:val="center"/>
        <w:rPr>
          <w:b/>
          <w:bCs/>
          <w:sz w:val="32"/>
          <w:szCs w:val="32"/>
        </w:rPr>
      </w:pPr>
      <w:r>
        <w:rPr>
          <w:b/>
          <w:bCs/>
          <w:sz w:val="32"/>
          <w:szCs w:val="32"/>
        </w:rPr>
        <w:t>Draft Internet Society Disability Inclusion Action Plan 1.2</w:t>
      </w:r>
    </w:p>
    <w:p w:rsidR="003A3F3A" w:rsidRDefault="00F64430">
      <w:pPr>
        <w:pStyle w:val="BodyA"/>
        <w:jc w:val="center"/>
        <w:rPr>
          <w:b/>
          <w:bCs/>
          <w:sz w:val="32"/>
          <w:szCs w:val="32"/>
        </w:rPr>
      </w:pPr>
      <w:r>
        <w:rPr>
          <w:b/>
          <w:bCs/>
          <w:sz w:val="32"/>
          <w:szCs w:val="32"/>
        </w:rPr>
        <w:t>January 2024</w:t>
      </w:r>
    </w:p>
    <w:p w:rsidR="003A3F3A" w:rsidRDefault="003A3F3A">
      <w:pPr>
        <w:pStyle w:val="BodyA"/>
      </w:pPr>
    </w:p>
    <w:p w:rsidR="003A3F3A" w:rsidRDefault="00F64430">
      <w:pPr>
        <w:pStyle w:val="BodyA"/>
        <w:rPr>
          <w:sz w:val="24"/>
          <w:szCs w:val="24"/>
        </w:rPr>
      </w:pPr>
      <w:r>
        <w:rPr>
          <w:sz w:val="24"/>
          <w:szCs w:val="24"/>
        </w:rPr>
        <w:t xml:space="preserve">Over one billion people, roughly one in seven of us globally, have some kind of permanent disability. The Internet Society strives to lead by example in ensuring that its content products, services, policies and programs all embrace accessibility. </w:t>
      </w:r>
    </w:p>
    <w:p w:rsidR="003A3F3A" w:rsidRDefault="003A3F3A">
      <w:pPr>
        <w:pStyle w:val="BodyA"/>
        <w:rPr>
          <w:sz w:val="24"/>
          <w:szCs w:val="24"/>
        </w:rPr>
      </w:pPr>
    </w:p>
    <w:p w:rsidR="003A3F3A" w:rsidRDefault="00F64430">
      <w:pPr>
        <w:pStyle w:val="BodyA"/>
        <w:rPr>
          <w:sz w:val="24"/>
          <w:szCs w:val="24"/>
        </w:rPr>
      </w:pPr>
      <w:r>
        <w:rPr>
          <w:sz w:val="24"/>
          <w:szCs w:val="24"/>
        </w:rPr>
        <w:t>ISOC’s</w:t>
      </w:r>
      <w:r>
        <w:rPr>
          <w:sz w:val="24"/>
          <w:szCs w:val="24"/>
        </w:rPr>
        <w:t xml:space="preserve"> Board of Trustees agreed on a resolution in April 2023 to an accessibility policy for persons with disabilities and requested that the President and CEO shall formulate, or cause to be formulated, a comprehensive accessibility operational framework and fu</w:t>
      </w:r>
      <w:r>
        <w:rPr>
          <w:sz w:val="24"/>
          <w:szCs w:val="24"/>
        </w:rPr>
        <w:t>nd alloc</w:t>
      </w:r>
      <w:r>
        <w:rPr>
          <w:sz w:val="24"/>
          <w:szCs w:val="24"/>
        </w:rPr>
        <w:t>a</w:t>
      </w:r>
      <w:r>
        <w:rPr>
          <w:sz w:val="24"/>
          <w:szCs w:val="24"/>
        </w:rPr>
        <w:t>tion as the President/CEO deems appropriate and in furtherance of ISOC</w:t>
      </w:r>
      <w:r>
        <w:rPr>
          <w:rFonts w:ascii="Arial Unicode MS" w:hAnsi="Arial Unicode MS"/>
          <w:sz w:val="24"/>
          <w:szCs w:val="24"/>
          <w:rtl/>
          <w:lang w:val="ar-SA"/>
        </w:rPr>
        <w:t>’</w:t>
      </w:r>
      <w:r>
        <w:rPr>
          <w:sz w:val="24"/>
          <w:szCs w:val="24"/>
        </w:rPr>
        <w:t>s progress to increase accessibility for persons with disabilities.</w:t>
      </w:r>
    </w:p>
    <w:p w:rsidR="003A3F3A" w:rsidRDefault="00F64430">
      <w:pPr>
        <w:pStyle w:val="BodyA"/>
        <w:rPr>
          <w:sz w:val="24"/>
          <w:szCs w:val="24"/>
        </w:rPr>
      </w:pPr>
      <w:r>
        <w:rPr>
          <w:sz w:val="24"/>
          <w:szCs w:val="24"/>
        </w:rPr>
        <w:t xml:space="preserve"> </w:t>
      </w:r>
    </w:p>
    <w:p w:rsidR="003A3F3A" w:rsidRDefault="00F64430">
      <w:pPr>
        <w:pStyle w:val="BodyA"/>
        <w:rPr>
          <w:sz w:val="24"/>
          <w:szCs w:val="24"/>
        </w:rPr>
      </w:pPr>
      <w:r>
        <w:rPr>
          <w:sz w:val="24"/>
          <w:szCs w:val="24"/>
        </w:rPr>
        <w:t>This focus on accessibility for persons with disabilities, within and beyond the Internet Society communit</w:t>
      </w:r>
      <w:r>
        <w:rPr>
          <w:sz w:val="24"/>
          <w:szCs w:val="24"/>
        </w:rPr>
        <w:t>y of individual and organizational members, Chapters, learners, and Special Interest Groups, is critical in enhancing digital inclusion on the Internet and in helping the I</w:t>
      </w:r>
      <w:r>
        <w:rPr>
          <w:sz w:val="24"/>
          <w:szCs w:val="24"/>
        </w:rPr>
        <w:t>n</w:t>
      </w:r>
      <w:r>
        <w:rPr>
          <w:sz w:val="24"/>
          <w:szCs w:val="24"/>
        </w:rPr>
        <w:t xml:space="preserve">ternet Society to deliver on its stated vision, </w:t>
      </w:r>
      <w:r>
        <w:rPr>
          <w:rFonts w:ascii="Arial Unicode MS" w:hAnsi="Arial Unicode MS"/>
          <w:sz w:val="24"/>
          <w:szCs w:val="24"/>
          <w:rtl/>
          <w:lang w:val="ar-SA"/>
        </w:rPr>
        <w:t>‘</w:t>
      </w:r>
      <w:r>
        <w:rPr>
          <w:sz w:val="24"/>
          <w:szCs w:val="24"/>
        </w:rPr>
        <w:t>The Internet is for Everyone</w:t>
      </w:r>
      <w:r>
        <w:rPr>
          <w:rFonts w:ascii="Arial Unicode MS" w:hAnsi="Arial Unicode MS"/>
          <w:sz w:val="24"/>
          <w:szCs w:val="24"/>
          <w:rtl/>
          <w:lang w:val="ar-SA"/>
        </w:rPr>
        <w:t>’</w:t>
      </w:r>
      <w:r>
        <w:rPr>
          <w:sz w:val="24"/>
          <w:szCs w:val="24"/>
        </w:rPr>
        <w:t xml:space="preserve">.  </w:t>
      </w:r>
    </w:p>
    <w:p w:rsidR="003A3F3A" w:rsidRDefault="003A3F3A">
      <w:pPr>
        <w:pStyle w:val="BodyA"/>
        <w:rPr>
          <w:sz w:val="24"/>
          <w:szCs w:val="24"/>
        </w:rPr>
      </w:pPr>
    </w:p>
    <w:p w:rsidR="003A3F3A" w:rsidRDefault="00F64430">
      <w:pPr>
        <w:pStyle w:val="BodyA"/>
        <w:rPr>
          <w:sz w:val="24"/>
          <w:szCs w:val="24"/>
        </w:rPr>
      </w:pPr>
      <w:r>
        <w:rPr>
          <w:sz w:val="24"/>
          <w:szCs w:val="24"/>
        </w:rPr>
        <w:t>This Disability Inclusion Action Plan is based on the ISOC Accessibility Framework 1.2 and is co-created with ISOC staff and the ISOC Accessibility Standing Group based on the disability movement’s motto: Nothing about us without us’. It will form the basi</w:t>
      </w:r>
      <w:r>
        <w:rPr>
          <w:sz w:val="24"/>
          <w:szCs w:val="24"/>
        </w:rPr>
        <w:t xml:space="preserve">s for guiding and mapping the Internet Society’s progress in increasing digital inclusion for persons with disabilities. </w:t>
      </w:r>
    </w:p>
    <w:p w:rsidR="003A3F3A" w:rsidRDefault="003A3F3A">
      <w:pPr>
        <w:pStyle w:val="BodyA"/>
      </w:pPr>
    </w:p>
    <w:p w:rsidR="003A3F3A" w:rsidRDefault="003A3F3A">
      <w:pPr>
        <w:pStyle w:val="BodyA"/>
      </w:pPr>
    </w:p>
    <w:p w:rsidR="007508B0" w:rsidRDefault="007508B0">
      <w:pPr>
        <w:pStyle w:val="BodyA"/>
        <w:rPr>
          <w:b/>
          <w:bCs/>
          <w:sz w:val="28"/>
          <w:szCs w:val="28"/>
        </w:rPr>
      </w:pPr>
    </w:p>
    <w:p w:rsidR="003A3F3A" w:rsidRDefault="00F64430">
      <w:pPr>
        <w:pStyle w:val="BodyA"/>
        <w:rPr>
          <w:b/>
          <w:bCs/>
          <w:sz w:val="28"/>
          <w:szCs w:val="28"/>
        </w:rPr>
      </w:pPr>
      <w:bookmarkStart w:id="0" w:name="_GoBack"/>
      <w:bookmarkEnd w:id="0"/>
      <w:r>
        <w:rPr>
          <w:b/>
          <w:bCs/>
          <w:sz w:val="28"/>
          <w:szCs w:val="28"/>
        </w:rPr>
        <w:lastRenderedPageBreak/>
        <w:t>Strategy 1: Building a culture of accessibility</w:t>
      </w:r>
    </w:p>
    <w:p w:rsidR="003A3F3A" w:rsidRDefault="003A3F3A">
      <w:pPr>
        <w:pStyle w:val="BodyA"/>
        <w:rPr>
          <w:b/>
          <w:bCs/>
          <w:sz w:val="28"/>
          <w:szCs w:val="28"/>
        </w:rPr>
      </w:pPr>
    </w:p>
    <w:p w:rsidR="003A3F3A" w:rsidRDefault="00F64430">
      <w:pPr>
        <w:pStyle w:val="BodyA"/>
        <w:rPr>
          <w:sz w:val="24"/>
          <w:szCs w:val="24"/>
        </w:rPr>
      </w:pPr>
      <w:r>
        <w:rPr>
          <w:sz w:val="24"/>
          <w:szCs w:val="24"/>
        </w:rPr>
        <w:t>The Internet Society and the Internet Society Accessibility Standing Group, made up</w:t>
      </w:r>
      <w:r>
        <w:rPr>
          <w:sz w:val="24"/>
          <w:szCs w:val="24"/>
        </w:rPr>
        <w:t xml:space="preserve"> of invested Internet Society community members, will work together to promote the development of a culture that reflects diversity, equality, and inclusivity. Working collaboratively, these groups will champion actions and ideas to embed accessibility bes</w:t>
      </w:r>
      <w:r>
        <w:rPr>
          <w:sz w:val="24"/>
          <w:szCs w:val="24"/>
        </w:rPr>
        <w:t xml:space="preserve">t practice across the organization. </w:t>
      </w:r>
    </w:p>
    <w:p w:rsidR="003A3F3A" w:rsidRDefault="003A3F3A">
      <w:pPr>
        <w:pStyle w:val="BodyA"/>
        <w:rPr>
          <w:b/>
          <w:bCs/>
          <w:sz w:val="28"/>
          <w:szCs w:val="28"/>
        </w:rPr>
      </w:pPr>
    </w:p>
    <w:p w:rsidR="003A3F3A" w:rsidRDefault="003A3F3A">
      <w:pPr>
        <w:pStyle w:val="BodyA"/>
      </w:pPr>
    </w:p>
    <w:tbl>
      <w:tblPr>
        <w:tblW w:w="145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4142"/>
        <w:gridCol w:w="6168"/>
        <w:gridCol w:w="2232"/>
        <w:gridCol w:w="2025"/>
      </w:tblGrid>
      <w:tr w:rsidR="003A3F3A">
        <w:trPr>
          <w:trHeight w:val="289"/>
          <w:tblHeader/>
        </w:trPr>
        <w:tc>
          <w:tcPr>
            <w:tcW w:w="4142" w:type="dxa"/>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Action</w:t>
            </w:r>
          </w:p>
        </w:tc>
        <w:tc>
          <w:tcPr>
            <w:tcW w:w="6168" w:type="dxa"/>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Measure of success/Performance Indicator</w:t>
            </w:r>
          </w:p>
        </w:tc>
        <w:tc>
          <w:tcPr>
            <w:tcW w:w="2232" w:type="dxa"/>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Responsibility</w:t>
            </w:r>
          </w:p>
        </w:tc>
        <w:tc>
          <w:tcPr>
            <w:tcW w:w="2025" w:type="dxa"/>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Timeframe</w:t>
            </w:r>
          </w:p>
        </w:tc>
      </w:tr>
      <w:tr w:rsidR="003A3F3A">
        <w:tblPrEx>
          <w:shd w:val="clear" w:color="auto" w:fill="CEDDEB"/>
        </w:tblPrEx>
        <w:trPr>
          <w:trHeight w:val="983"/>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TableStyle1A"/>
            </w:pPr>
            <w:r>
              <w:rPr>
                <w:b w:val="0"/>
                <w:bCs w:val="0"/>
              </w:rPr>
              <w:t>Develop a disability and digital inclusion awareness toolkit for staff</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 xml:space="preserve">Toolkit created and publicized. </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e-learning/HR</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First quarter 2024</w:t>
            </w:r>
          </w:p>
        </w:tc>
      </w:tr>
      <w:tr w:rsidR="003A3F3A">
        <w:tblPrEx>
          <w:shd w:val="clear" w:color="auto" w:fill="CEDDEB"/>
        </w:tblPrEx>
        <w:trPr>
          <w:trHeight w:val="983"/>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TableStyle1A"/>
            </w:pPr>
            <w:r>
              <w:rPr>
                <w:b w:val="0"/>
                <w:bCs w:val="0"/>
              </w:rPr>
              <w:t>Deliver disability and digital inclusion awar</w:t>
            </w:r>
            <w:r>
              <w:rPr>
                <w:b w:val="0"/>
                <w:bCs w:val="0"/>
              </w:rPr>
              <w:t>e</w:t>
            </w:r>
            <w:r>
              <w:rPr>
                <w:b w:val="0"/>
                <w:bCs w:val="0"/>
              </w:rPr>
              <w:t>ness training for staff</w:t>
            </w:r>
          </w:p>
        </w:tc>
        <w:tc>
          <w:tcPr>
            <w:tcW w:w="616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A3F3A" w:rsidRDefault="00F64430">
            <w:pPr>
              <w:pStyle w:val="TableStyle2A"/>
            </w:pPr>
            <w:r>
              <w:t>All new and existing staff receive disability and digital inclusion awareness training and obtain 80% score on quiz</w:t>
            </w:r>
          </w:p>
        </w:tc>
        <w:tc>
          <w:tcPr>
            <w:tcW w:w="223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A3F3A" w:rsidRDefault="00F64430">
            <w:pPr>
              <w:pStyle w:val="TableStyle2A"/>
            </w:pPr>
            <w:r>
              <w:t>e-learning/HR</w:t>
            </w:r>
          </w:p>
        </w:tc>
        <w:tc>
          <w:tcPr>
            <w:tcW w:w="20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A3F3A" w:rsidRDefault="00F64430">
            <w:pPr>
              <w:pStyle w:val="TableStyle2A"/>
            </w:pPr>
            <w:r>
              <w:t>Required training for new staff/ annual training for all</w:t>
            </w:r>
            <w:r>
              <w:t xml:space="preserve"> exis</w:t>
            </w:r>
            <w:r>
              <w:t>t</w:t>
            </w:r>
            <w:r>
              <w:t>ing staff</w:t>
            </w:r>
          </w:p>
        </w:tc>
      </w:tr>
      <w:tr w:rsidR="003A3F3A">
        <w:tblPrEx>
          <w:shd w:val="clear" w:color="auto" w:fill="CEDDEB"/>
        </w:tblPrEx>
        <w:trPr>
          <w:trHeight w:val="1930"/>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As part of awareness raising efforts, run i</w:t>
            </w:r>
            <w:r>
              <w:rPr>
                <w:rFonts w:ascii="Helvetica" w:hAnsi="Helvetica"/>
                <w:sz w:val="20"/>
                <w:szCs w:val="20"/>
              </w:rPr>
              <w:t>n</w:t>
            </w:r>
            <w:r>
              <w:rPr>
                <w:rFonts w:ascii="Helvetica" w:hAnsi="Helvetica"/>
                <w:sz w:val="20"/>
                <w:szCs w:val="20"/>
              </w:rPr>
              <w:t>ternal accessibility campaigns</w:t>
            </w:r>
          </w:p>
        </w:tc>
        <w:tc>
          <w:tcPr>
            <w:tcW w:w="616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A3F3A" w:rsidRDefault="00F64430">
            <w:pPr>
              <w:pStyle w:val="ListParagraph"/>
              <w:numPr>
                <w:ilvl w:val="0"/>
                <w:numId w:val="1"/>
              </w:numPr>
              <w:rPr>
                <w:rFonts w:ascii="Helvetica" w:hAnsi="Helvetica"/>
                <w:sz w:val="20"/>
                <w:szCs w:val="20"/>
              </w:rPr>
            </w:pPr>
            <w:r>
              <w:rPr>
                <w:rFonts w:ascii="Helvetica" w:hAnsi="Helvetica"/>
                <w:sz w:val="20"/>
                <w:szCs w:val="20"/>
              </w:rPr>
              <w:t>mailing/ posting accessibility tips over social media</w:t>
            </w:r>
          </w:p>
          <w:p w:rsidR="003A3F3A" w:rsidRDefault="00F64430">
            <w:pPr>
              <w:pStyle w:val="ListParagraph"/>
              <w:numPr>
                <w:ilvl w:val="0"/>
                <w:numId w:val="1"/>
              </w:numPr>
              <w:rPr>
                <w:rFonts w:ascii="Helvetica" w:hAnsi="Helvetica"/>
                <w:sz w:val="20"/>
                <w:szCs w:val="20"/>
              </w:rPr>
            </w:pPr>
            <w:r>
              <w:rPr>
                <w:rFonts w:ascii="Helvetica" w:hAnsi="Helvetica"/>
                <w:sz w:val="20"/>
                <w:szCs w:val="20"/>
              </w:rPr>
              <w:t>screening short videos</w:t>
            </w:r>
          </w:p>
          <w:p w:rsidR="003A3F3A" w:rsidRDefault="00F64430">
            <w:pPr>
              <w:pStyle w:val="ListParagraph"/>
              <w:numPr>
                <w:ilvl w:val="0"/>
                <w:numId w:val="1"/>
              </w:numPr>
              <w:rPr>
                <w:rFonts w:ascii="Helvetica" w:hAnsi="Helvetica"/>
                <w:sz w:val="20"/>
                <w:szCs w:val="20"/>
              </w:rPr>
            </w:pPr>
            <w:r>
              <w:rPr>
                <w:rFonts w:ascii="Helvetica" w:hAnsi="Helvetica"/>
                <w:sz w:val="20"/>
                <w:szCs w:val="20"/>
              </w:rPr>
              <w:t xml:space="preserve">inviting guest speakers with lived experience of disability to share about their life </w:t>
            </w:r>
            <w:r>
              <w:rPr>
                <w:rFonts w:ascii="Helvetica" w:hAnsi="Helvetica"/>
                <w:sz w:val="20"/>
                <w:szCs w:val="20"/>
              </w:rPr>
              <w:t>journeys through interviews, podcasts, blogs, holding talks</w:t>
            </w:r>
          </w:p>
          <w:p w:rsidR="003A3F3A" w:rsidRDefault="00F64430">
            <w:pPr>
              <w:pStyle w:val="ListParagraph"/>
              <w:numPr>
                <w:ilvl w:val="0"/>
                <w:numId w:val="1"/>
              </w:numPr>
              <w:rPr>
                <w:rFonts w:ascii="Helvetica" w:hAnsi="Helvetica"/>
                <w:sz w:val="20"/>
                <w:szCs w:val="20"/>
              </w:rPr>
            </w:pPr>
            <w:r>
              <w:rPr>
                <w:rFonts w:ascii="Helvetica" w:hAnsi="Helvetica"/>
                <w:sz w:val="20"/>
                <w:szCs w:val="20"/>
              </w:rPr>
              <w:t>organizing technical workshops on disability sensitization or how to create and maintain accessible resources/standards compliance</w:t>
            </w:r>
          </w:p>
        </w:tc>
        <w:tc>
          <w:tcPr>
            <w:tcW w:w="223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A3F3A" w:rsidRDefault="00F64430">
            <w:pPr>
              <w:pStyle w:val="Body"/>
            </w:pPr>
            <w:r>
              <w:rPr>
                <w:rFonts w:ascii="Helvetica" w:hAnsi="Helvetica"/>
                <w:sz w:val="20"/>
                <w:szCs w:val="20"/>
              </w:rPr>
              <w:t>HR/Systems &amp; Support</w:t>
            </w:r>
          </w:p>
        </w:tc>
        <w:tc>
          <w:tcPr>
            <w:tcW w:w="20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A3F3A" w:rsidRDefault="00F64430">
            <w:pPr>
              <w:pStyle w:val="TableStyle2A"/>
            </w:pPr>
            <w:r>
              <w:t>Ongoing</w:t>
            </w:r>
          </w:p>
        </w:tc>
      </w:tr>
      <w:tr w:rsidR="003A3F3A">
        <w:tblPrEx>
          <w:shd w:val="clear" w:color="auto" w:fill="CEDDEB"/>
        </w:tblPrEx>
        <w:trPr>
          <w:trHeight w:val="983"/>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A"/>
            </w:pPr>
            <w:r>
              <w:rPr>
                <w:sz w:val="20"/>
                <w:szCs w:val="20"/>
              </w:rPr>
              <w:t>Recognize efforts of people / teams/ d</w:t>
            </w:r>
            <w:r>
              <w:rPr>
                <w:sz w:val="20"/>
                <w:szCs w:val="20"/>
              </w:rPr>
              <w:t>e</w:t>
            </w:r>
            <w:r>
              <w:rPr>
                <w:sz w:val="20"/>
                <w:szCs w:val="20"/>
              </w:rPr>
              <w:t>partments who promote accessibility in their work and culture, celebrate special days r</w:t>
            </w:r>
            <w:r>
              <w:rPr>
                <w:sz w:val="20"/>
                <w:szCs w:val="20"/>
              </w:rPr>
              <w:t>e</w:t>
            </w:r>
            <w:r>
              <w:rPr>
                <w:sz w:val="20"/>
                <w:szCs w:val="20"/>
              </w:rPr>
              <w:t xml:space="preserve">lating to disability  </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Recognition program is developed and launched</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HR</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Ongoing</w:t>
            </w:r>
          </w:p>
        </w:tc>
      </w:tr>
      <w:tr w:rsidR="003A3F3A">
        <w:tblPrEx>
          <w:shd w:val="clear" w:color="auto" w:fill="CEDDEB"/>
        </w:tblPrEx>
        <w:trPr>
          <w:trHeight w:val="983"/>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TableStyle1A"/>
            </w:pPr>
            <w:r>
              <w:rPr>
                <w:b w:val="0"/>
                <w:bCs w:val="0"/>
              </w:rPr>
              <w:t xml:space="preserve">Identify “Accessibility Champions” amongst </w:t>
            </w:r>
            <w:r>
              <w:rPr>
                <w:b w:val="0"/>
                <w:bCs w:val="0"/>
              </w:rPr>
              <w:t>Internet Society staff</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“Accessibility Champions” identified and listed across ISOC D</w:t>
            </w:r>
            <w:r>
              <w:t>e</w:t>
            </w:r>
            <w:r>
              <w:t xml:space="preserve">partments to promote actions in the Disability Inclusion Action Plan, stimulate integration of accessibility across work streams, as well as address accessibility related </w:t>
            </w:r>
            <w:r>
              <w:t>queries and challenges.</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CEO/Systems &amp; Su</w:t>
            </w:r>
            <w:r>
              <w:t>p</w:t>
            </w:r>
            <w:r>
              <w:t>port</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Ongoing</w:t>
            </w:r>
          </w:p>
        </w:tc>
      </w:tr>
      <w:tr w:rsidR="003A3F3A">
        <w:tblPrEx>
          <w:shd w:val="clear" w:color="auto" w:fill="CEDDEB"/>
        </w:tblPrEx>
        <w:trPr>
          <w:trHeight w:val="983"/>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lastRenderedPageBreak/>
              <w:t>Encourage the employment of staff with di</w:t>
            </w:r>
            <w:r>
              <w:rPr>
                <w:rFonts w:ascii="Helvetica" w:hAnsi="Helvetica"/>
                <w:sz w:val="20"/>
                <w:szCs w:val="20"/>
              </w:rPr>
              <w:t>s</w:t>
            </w:r>
            <w:r>
              <w:rPr>
                <w:rFonts w:ascii="Helvetica" w:hAnsi="Helvetica"/>
                <w:sz w:val="20"/>
                <w:szCs w:val="20"/>
              </w:rPr>
              <w:t xml:space="preserve">abilities </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At least 1-2 people with disabilities employed in the next year</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HR</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Ongoing</w:t>
            </w:r>
          </w:p>
        </w:tc>
      </w:tr>
      <w:tr w:rsidR="003A3F3A">
        <w:tblPrEx>
          <w:shd w:val="clear" w:color="auto" w:fill="CEDDEB"/>
        </w:tblPrEx>
        <w:trPr>
          <w:trHeight w:val="1450"/>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TableStyle1A"/>
            </w:pPr>
            <w:r>
              <w:rPr>
                <w:b w:val="0"/>
                <w:bCs w:val="0"/>
              </w:rPr>
              <w:t>Regular interaction between the internal a</w:t>
            </w:r>
            <w:r>
              <w:rPr>
                <w:b w:val="0"/>
                <w:bCs w:val="0"/>
              </w:rPr>
              <w:t>c</w:t>
            </w:r>
            <w:r>
              <w:rPr>
                <w:b w:val="0"/>
                <w:bCs w:val="0"/>
              </w:rPr>
              <w:t>cessibility working group on accessibility, Accessibility Champions and the Internet Society Accessibility Standing Group to e</w:t>
            </w:r>
            <w:r>
              <w:rPr>
                <w:b w:val="0"/>
                <w:bCs w:val="0"/>
              </w:rPr>
              <w:t>n</w:t>
            </w:r>
            <w:r>
              <w:rPr>
                <w:b w:val="0"/>
                <w:bCs w:val="0"/>
              </w:rPr>
              <w:t>sure accessibility is integrated both proc</w:t>
            </w:r>
            <w:r>
              <w:rPr>
                <w:b w:val="0"/>
                <w:bCs w:val="0"/>
              </w:rPr>
              <w:t>e</w:t>
            </w:r>
            <w:r>
              <w:rPr>
                <w:b w:val="0"/>
                <w:bCs w:val="0"/>
              </w:rPr>
              <w:t xml:space="preserve">durally as well as substantively. </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 xml:space="preserve">Regular </w:t>
            </w:r>
            <w:r>
              <w:t>meetings held and minutes captured with concrete action items.</w:t>
            </w:r>
          </w:p>
          <w:p w:rsidR="003A3F3A" w:rsidRDefault="00F64430">
            <w:pPr>
              <w:pStyle w:val="TableStyle2A"/>
            </w:pPr>
            <w:r>
              <w:t xml:space="preserve">Ongoing informal communication when needed. </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Systems &amp; Support</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Bi-monthly</w:t>
            </w:r>
          </w:p>
        </w:tc>
      </w:tr>
      <w:tr w:rsidR="003A3F3A">
        <w:tblPrEx>
          <w:shd w:val="clear" w:color="auto" w:fill="CEDDEB"/>
        </w:tblPrEx>
        <w:trPr>
          <w:trHeight w:val="495"/>
        </w:trPr>
        <w:tc>
          <w:tcPr>
            <w:tcW w:w="4142" w:type="dxa"/>
            <w:tcBorders>
              <w:top w:val="single" w:sz="2" w:space="0" w:color="000000"/>
              <w:left w:val="single" w:sz="2" w:space="0" w:color="000000"/>
              <w:bottom w:val="single" w:sz="2" w:space="0" w:color="000000"/>
              <w:right w:val="single" w:sz="4" w:space="0" w:color="000000"/>
            </w:tcBorders>
            <w:shd w:val="clear" w:color="auto" w:fill="E8EEF5"/>
            <w:tcMar>
              <w:top w:w="80" w:type="dxa"/>
              <w:left w:w="80" w:type="dxa"/>
              <w:bottom w:w="80" w:type="dxa"/>
              <w:right w:w="80" w:type="dxa"/>
            </w:tcMar>
          </w:tcPr>
          <w:p w:rsidR="003A3F3A" w:rsidRDefault="003A3F3A"/>
        </w:tc>
        <w:tc>
          <w:tcPr>
            <w:tcW w:w="6168" w:type="dxa"/>
            <w:tcBorders>
              <w:top w:val="single" w:sz="2" w:space="0" w:color="000000"/>
              <w:left w:val="single" w:sz="4" w:space="0" w:color="000000"/>
              <w:bottom w:val="single" w:sz="2" w:space="0" w:color="000000"/>
              <w:right w:val="single" w:sz="2" w:space="0" w:color="000000"/>
            </w:tcBorders>
            <w:shd w:val="clear" w:color="auto" w:fill="E8EEF5"/>
            <w:tcMar>
              <w:top w:w="80" w:type="dxa"/>
              <w:left w:w="80" w:type="dxa"/>
              <w:bottom w:w="80" w:type="dxa"/>
              <w:right w:w="80" w:type="dxa"/>
            </w:tcMar>
          </w:tcPr>
          <w:p w:rsidR="003A3F3A" w:rsidRDefault="003A3F3A"/>
        </w:tc>
        <w:tc>
          <w:tcPr>
            <w:tcW w:w="2232" w:type="dxa"/>
            <w:tcBorders>
              <w:top w:val="single" w:sz="2" w:space="0" w:color="000000"/>
              <w:left w:val="single" w:sz="2" w:space="0" w:color="000000"/>
              <w:bottom w:val="single" w:sz="2" w:space="0" w:color="000000"/>
              <w:right w:val="single" w:sz="2" w:space="0" w:color="000000"/>
            </w:tcBorders>
            <w:shd w:val="clear" w:color="auto" w:fill="E8EEF5"/>
            <w:tcMar>
              <w:top w:w="80" w:type="dxa"/>
              <w:left w:w="80" w:type="dxa"/>
              <w:bottom w:w="80" w:type="dxa"/>
              <w:right w:w="80" w:type="dxa"/>
            </w:tcMar>
          </w:tcPr>
          <w:p w:rsidR="003A3F3A" w:rsidRDefault="003A3F3A"/>
        </w:tc>
        <w:tc>
          <w:tcPr>
            <w:tcW w:w="2025" w:type="dxa"/>
            <w:tcBorders>
              <w:top w:val="single" w:sz="2" w:space="0" w:color="000000"/>
              <w:left w:val="single" w:sz="2" w:space="0" w:color="000000"/>
              <w:bottom w:val="single" w:sz="2" w:space="0" w:color="000000"/>
              <w:right w:val="single" w:sz="2" w:space="0" w:color="000000"/>
            </w:tcBorders>
            <w:shd w:val="clear" w:color="auto" w:fill="E8EEF5"/>
            <w:tcMar>
              <w:top w:w="80" w:type="dxa"/>
              <w:left w:w="80" w:type="dxa"/>
              <w:bottom w:w="80" w:type="dxa"/>
              <w:right w:w="80" w:type="dxa"/>
            </w:tcMar>
          </w:tcPr>
          <w:p w:rsidR="003A3F3A" w:rsidRDefault="003A3F3A"/>
        </w:tc>
      </w:tr>
      <w:tr w:rsidR="003A3F3A">
        <w:tblPrEx>
          <w:shd w:val="clear" w:color="auto" w:fill="CEDDEB"/>
        </w:tblPrEx>
        <w:trPr>
          <w:trHeight w:val="1690"/>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Demonstrate the innovative ways people with disabilities use the Internet through di</w:t>
            </w:r>
            <w:r>
              <w:rPr>
                <w:rFonts w:ascii="Helvetica" w:hAnsi="Helvetica"/>
                <w:sz w:val="20"/>
                <w:szCs w:val="20"/>
              </w:rPr>
              <w:t>s</w:t>
            </w:r>
            <w:r>
              <w:rPr>
                <w:rFonts w:ascii="Helvetica" w:hAnsi="Helvetica"/>
                <w:sz w:val="20"/>
                <w:szCs w:val="20"/>
              </w:rPr>
              <w:t xml:space="preserve">ability showcase events at </w:t>
            </w:r>
            <w:r>
              <w:rPr>
                <w:rFonts w:ascii="Helvetica" w:hAnsi="Helvetica"/>
                <w:sz w:val="20"/>
                <w:szCs w:val="20"/>
              </w:rPr>
              <w:t>Internet Society-sponsored events.</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ListParagraph"/>
              <w:ind w:left="0"/>
              <w:rPr>
                <w:rFonts w:ascii="Helvetica" w:eastAsia="Helvetica" w:hAnsi="Helvetica" w:cs="Helvetica"/>
                <w:sz w:val="20"/>
                <w:szCs w:val="20"/>
              </w:rPr>
            </w:pPr>
            <w:r>
              <w:rPr>
                <w:rFonts w:ascii="Helvetica" w:hAnsi="Helvetica"/>
                <w:sz w:val="20"/>
                <w:szCs w:val="20"/>
              </w:rPr>
              <w:t>Active engagement on disability throughout the year through a s</w:t>
            </w:r>
            <w:r>
              <w:rPr>
                <w:rFonts w:ascii="Helvetica" w:hAnsi="Helvetica"/>
                <w:sz w:val="20"/>
                <w:szCs w:val="20"/>
              </w:rPr>
              <w:t>e</w:t>
            </w:r>
            <w:r>
              <w:rPr>
                <w:rFonts w:ascii="Helvetica" w:hAnsi="Helvetica"/>
                <w:sz w:val="20"/>
                <w:szCs w:val="20"/>
              </w:rPr>
              <w:t>ries of activities such as:</w:t>
            </w:r>
          </w:p>
          <w:p w:rsidR="003A3F3A" w:rsidRDefault="00F64430">
            <w:pPr>
              <w:pStyle w:val="ListParagraph"/>
              <w:numPr>
                <w:ilvl w:val="0"/>
                <w:numId w:val="2"/>
              </w:numPr>
              <w:rPr>
                <w:rFonts w:ascii="Helvetica" w:eastAsia="Helvetica" w:hAnsi="Helvetica" w:cs="Helvetica"/>
                <w:sz w:val="20"/>
                <w:szCs w:val="20"/>
              </w:rPr>
            </w:pPr>
            <w:r>
              <w:rPr>
                <w:rFonts w:ascii="Helvetica" w:hAnsi="Helvetica"/>
                <w:sz w:val="20"/>
                <w:szCs w:val="20"/>
              </w:rPr>
              <w:t>three talks including Community Day</w:t>
            </w:r>
          </w:p>
          <w:p w:rsidR="003A3F3A" w:rsidRDefault="00F64430">
            <w:pPr>
              <w:pStyle w:val="ListParagraph"/>
              <w:numPr>
                <w:ilvl w:val="0"/>
                <w:numId w:val="2"/>
              </w:numPr>
              <w:rPr>
                <w:rFonts w:ascii="Helvetica" w:eastAsia="Helvetica" w:hAnsi="Helvetica" w:cs="Helvetica"/>
                <w:sz w:val="20"/>
                <w:szCs w:val="20"/>
              </w:rPr>
            </w:pPr>
            <w:proofErr w:type="gramStart"/>
            <w:r>
              <w:rPr>
                <w:rFonts w:ascii="Helvetica" w:hAnsi="Helvetica"/>
                <w:sz w:val="20"/>
                <w:szCs w:val="20"/>
              </w:rPr>
              <w:t>events</w:t>
            </w:r>
            <w:proofErr w:type="gramEnd"/>
            <w:r>
              <w:rPr>
                <w:rFonts w:ascii="Helvetica" w:hAnsi="Helvetica"/>
                <w:sz w:val="20"/>
                <w:szCs w:val="20"/>
              </w:rPr>
              <w:t xml:space="preserve"> such as the International Day of Persons with Disabilities (3rd December) and GAAD (mid-May). </w:t>
            </w:r>
          </w:p>
          <w:p w:rsidR="003A3F3A" w:rsidRDefault="00F64430">
            <w:pPr>
              <w:pStyle w:val="BodyB"/>
            </w:pPr>
            <w:r>
              <w:rPr>
                <w:rFonts w:ascii="Helvetica" w:hAnsi="Helvetica"/>
                <w:sz w:val="20"/>
                <w:szCs w:val="20"/>
              </w:rPr>
              <w:t>Disability community representatives invited and supported to be keynote speakers in at least two ISOC-sponsored events per year</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External &amp; community enga</w:t>
            </w:r>
            <w:r>
              <w:rPr>
                <w:rFonts w:ascii="Helvetica" w:hAnsi="Helvetica"/>
                <w:sz w:val="20"/>
                <w:szCs w:val="20"/>
              </w:rPr>
              <w:t xml:space="preserve">gement </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Ongoing</w:t>
            </w:r>
          </w:p>
        </w:tc>
      </w:tr>
      <w:tr w:rsidR="003A3F3A">
        <w:tblPrEx>
          <w:shd w:val="clear" w:color="auto" w:fill="CEDDEB"/>
        </w:tblPrEx>
        <w:trPr>
          <w:trHeight w:val="295"/>
        </w:trPr>
        <w:tc>
          <w:tcPr>
            <w:tcW w:w="4142" w:type="dxa"/>
            <w:tcBorders>
              <w:top w:val="single" w:sz="2" w:space="0" w:color="000000"/>
              <w:left w:val="single" w:sz="2" w:space="0" w:color="000000"/>
              <w:bottom w:val="single" w:sz="2" w:space="0" w:color="000000"/>
              <w:right w:val="single" w:sz="4" w:space="0" w:color="000000"/>
            </w:tcBorders>
            <w:shd w:val="clear" w:color="auto" w:fill="E8EEF5"/>
            <w:tcMar>
              <w:top w:w="80" w:type="dxa"/>
              <w:left w:w="80" w:type="dxa"/>
              <w:bottom w:w="80" w:type="dxa"/>
              <w:right w:w="80" w:type="dxa"/>
            </w:tcMar>
          </w:tcPr>
          <w:p w:rsidR="003A3F3A" w:rsidRDefault="003A3F3A"/>
        </w:tc>
        <w:tc>
          <w:tcPr>
            <w:tcW w:w="6168" w:type="dxa"/>
            <w:tcBorders>
              <w:top w:val="single" w:sz="2" w:space="0" w:color="000000"/>
              <w:left w:val="single" w:sz="4" w:space="0" w:color="000000"/>
              <w:bottom w:val="single" w:sz="2" w:space="0" w:color="000000"/>
              <w:right w:val="single" w:sz="2" w:space="0" w:color="000000"/>
            </w:tcBorders>
            <w:shd w:val="clear" w:color="auto" w:fill="E8EEF5"/>
            <w:tcMar>
              <w:top w:w="80" w:type="dxa"/>
              <w:left w:w="80" w:type="dxa"/>
              <w:bottom w:w="80" w:type="dxa"/>
              <w:right w:w="80" w:type="dxa"/>
            </w:tcMar>
          </w:tcPr>
          <w:p w:rsidR="003A3F3A" w:rsidRDefault="003A3F3A"/>
        </w:tc>
        <w:tc>
          <w:tcPr>
            <w:tcW w:w="2232" w:type="dxa"/>
            <w:tcBorders>
              <w:top w:val="single" w:sz="2" w:space="0" w:color="000000"/>
              <w:left w:val="single" w:sz="2" w:space="0" w:color="000000"/>
              <w:bottom w:val="single" w:sz="2" w:space="0" w:color="000000"/>
              <w:right w:val="single" w:sz="2" w:space="0" w:color="000000"/>
            </w:tcBorders>
            <w:shd w:val="clear" w:color="auto" w:fill="E8EEF5"/>
            <w:tcMar>
              <w:top w:w="80" w:type="dxa"/>
              <w:left w:w="80" w:type="dxa"/>
              <w:bottom w:w="80" w:type="dxa"/>
              <w:right w:w="80" w:type="dxa"/>
            </w:tcMar>
          </w:tcPr>
          <w:p w:rsidR="003A3F3A" w:rsidRDefault="003A3F3A"/>
        </w:tc>
        <w:tc>
          <w:tcPr>
            <w:tcW w:w="2025" w:type="dxa"/>
            <w:tcBorders>
              <w:top w:val="single" w:sz="2" w:space="0" w:color="000000"/>
              <w:left w:val="single" w:sz="2" w:space="0" w:color="000000"/>
              <w:bottom w:val="single" w:sz="2" w:space="0" w:color="000000"/>
              <w:right w:val="single" w:sz="2" w:space="0" w:color="000000"/>
            </w:tcBorders>
            <w:shd w:val="clear" w:color="auto" w:fill="E8EEF5"/>
            <w:tcMar>
              <w:top w:w="80" w:type="dxa"/>
              <w:left w:w="80" w:type="dxa"/>
              <w:bottom w:w="80" w:type="dxa"/>
              <w:right w:w="80" w:type="dxa"/>
            </w:tcMar>
          </w:tcPr>
          <w:p w:rsidR="003A3F3A" w:rsidRDefault="003A3F3A"/>
        </w:tc>
      </w:tr>
      <w:tr w:rsidR="003A3F3A">
        <w:tblPrEx>
          <w:shd w:val="clear" w:color="auto" w:fill="CEDDEB"/>
        </w:tblPrEx>
        <w:trPr>
          <w:trHeight w:val="1450"/>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Incorporate an accessibility impact asses</w:t>
            </w:r>
            <w:r>
              <w:rPr>
                <w:rFonts w:ascii="Helvetica" w:hAnsi="Helvetica"/>
                <w:sz w:val="20"/>
                <w:szCs w:val="20"/>
              </w:rPr>
              <w:t>s</w:t>
            </w:r>
            <w:r>
              <w:rPr>
                <w:rFonts w:ascii="Helvetica" w:hAnsi="Helvetica"/>
                <w:sz w:val="20"/>
                <w:szCs w:val="20"/>
              </w:rPr>
              <w:t>ment in policy development as well as Inte</w:t>
            </w:r>
            <w:r>
              <w:rPr>
                <w:rFonts w:ascii="Helvetica" w:hAnsi="Helvetica"/>
                <w:sz w:val="20"/>
                <w:szCs w:val="20"/>
              </w:rPr>
              <w:t>r</w:t>
            </w:r>
            <w:r>
              <w:rPr>
                <w:rFonts w:ascii="Helvetica" w:hAnsi="Helvetica"/>
                <w:sz w:val="20"/>
                <w:szCs w:val="20"/>
              </w:rPr>
              <w:t>net Society processes and practices</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ListParagraph"/>
              <w:numPr>
                <w:ilvl w:val="0"/>
                <w:numId w:val="3"/>
              </w:numPr>
              <w:rPr>
                <w:rFonts w:ascii="Helvetica" w:hAnsi="Helvetica"/>
                <w:sz w:val="20"/>
                <w:szCs w:val="20"/>
              </w:rPr>
            </w:pPr>
            <w:r>
              <w:rPr>
                <w:rFonts w:ascii="Helvetica" w:hAnsi="Helvetica"/>
                <w:sz w:val="20"/>
                <w:szCs w:val="20"/>
              </w:rPr>
              <w:t>Accessibility impact assessment guidelines and template created</w:t>
            </w:r>
          </w:p>
          <w:p w:rsidR="003A3F3A" w:rsidRDefault="00F64430">
            <w:pPr>
              <w:pStyle w:val="ListParagraph"/>
              <w:numPr>
                <w:ilvl w:val="0"/>
                <w:numId w:val="3"/>
              </w:numPr>
              <w:rPr>
                <w:rFonts w:ascii="Helvetica" w:hAnsi="Helvetica"/>
                <w:sz w:val="20"/>
                <w:szCs w:val="20"/>
              </w:rPr>
            </w:pPr>
            <w:r>
              <w:rPr>
                <w:rFonts w:ascii="Helvetica" w:hAnsi="Helvetica"/>
                <w:sz w:val="20"/>
                <w:szCs w:val="20"/>
              </w:rPr>
              <w:t xml:space="preserve">Accessibility impact assessment in policy </w:t>
            </w:r>
            <w:r>
              <w:rPr>
                <w:rFonts w:ascii="Helvetica" w:hAnsi="Helvetica"/>
                <w:sz w:val="20"/>
                <w:szCs w:val="20"/>
              </w:rPr>
              <w:t>development pr</w:t>
            </w:r>
            <w:r>
              <w:rPr>
                <w:rFonts w:ascii="Helvetica" w:hAnsi="Helvetica"/>
                <w:sz w:val="20"/>
                <w:szCs w:val="20"/>
              </w:rPr>
              <w:t>o</w:t>
            </w:r>
            <w:r>
              <w:rPr>
                <w:rFonts w:ascii="Helvetica" w:hAnsi="Helvetica"/>
                <w:sz w:val="20"/>
                <w:szCs w:val="20"/>
              </w:rPr>
              <w:t>cesses</w:t>
            </w:r>
          </w:p>
          <w:p w:rsidR="003A3F3A" w:rsidRDefault="00F64430">
            <w:pPr>
              <w:pStyle w:val="ListParagraph"/>
              <w:numPr>
                <w:ilvl w:val="0"/>
                <w:numId w:val="3"/>
              </w:numPr>
              <w:rPr>
                <w:rFonts w:ascii="Helvetica" w:hAnsi="Helvetica"/>
                <w:sz w:val="20"/>
                <w:szCs w:val="20"/>
              </w:rPr>
            </w:pPr>
            <w:r>
              <w:rPr>
                <w:rFonts w:ascii="Helvetica" w:hAnsi="Helvetica"/>
                <w:sz w:val="20"/>
                <w:szCs w:val="20"/>
              </w:rPr>
              <w:t>Overall ISOC processes and practices updated to include accessibility impact assessment</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Policy/Systems &amp; Su</w:t>
            </w:r>
            <w:r>
              <w:rPr>
                <w:rFonts w:ascii="Helvetica" w:hAnsi="Helvetica"/>
                <w:sz w:val="20"/>
                <w:szCs w:val="20"/>
              </w:rPr>
              <w:t>p</w:t>
            </w:r>
            <w:r>
              <w:rPr>
                <w:rFonts w:ascii="Helvetica" w:hAnsi="Helvetica"/>
                <w:sz w:val="20"/>
                <w:szCs w:val="20"/>
              </w:rPr>
              <w:t>port</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Ongoing</w:t>
            </w:r>
          </w:p>
        </w:tc>
      </w:tr>
      <w:tr w:rsidR="003A3F3A">
        <w:tblPrEx>
          <w:shd w:val="clear" w:color="auto" w:fill="CEDDEB"/>
        </w:tblPrEx>
        <w:trPr>
          <w:trHeight w:val="295"/>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3A3F3A"/>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3A3F3A"/>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3A3F3A"/>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3A3F3A"/>
        </w:tc>
      </w:tr>
      <w:tr w:rsidR="003A3F3A">
        <w:tblPrEx>
          <w:shd w:val="clear" w:color="auto" w:fill="CEDDEB"/>
        </w:tblPrEx>
        <w:trPr>
          <w:trHeight w:val="1210"/>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lastRenderedPageBreak/>
              <w:t xml:space="preserve"> Encourage and support research initiatives on digital inclusion in all regions &amp;</w:t>
            </w:r>
            <w:r>
              <w:rPr>
                <w:rFonts w:ascii="Helvetica" w:hAnsi="Helvetica"/>
                <w:sz w:val="20"/>
                <w:szCs w:val="20"/>
              </w:rPr>
              <w:t xml:space="preserve"> identify potential barriers to inclusion including for those with invisible or less </w:t>
            </w:r>
            <w:proofErr w:type="spellStart"/>
            <w:r>
              <w:rPr>
                <w:rFonts w:ascii="Helvetica" w:hAnsi="Helvetica"/>
                <w:sz w:val="20"/>
                <w:szCs w:val="20"/>
              </w:rPr>
              <w:t>recognised</w:t>
            </w:r>
            <w:proofErr w:type="spellEnd"/>
            <w:r>
              <w:rPr>
                <w:rFonts w:ascii="Helvetica" w:hAnsi="Helvetica"/>
                <w:sz w:val="20"/>
                <w:szCs w:val="20"/>
              </w:rPr>
              <w:t xml:space="preserve"> dis</w:t>
            </w:r>
            <w:r>
              <w:rPr>
                <w:rFonts w:ascii="Helvetica" w:hAnsi="Helvetica"/>
                <w:sz w:val="20"/>
                <w:szCs w:val="20"/>
              </w:rPr>
              <w:t>a</w:t>
            </w:r>
            <w:r>
              <w:rPr>
                <w:rFonts w:ascii="Helvetica" w:hAnsi="Helvetica"/>
                <w:sz w:val="20"/>
                <w:szCs w:val="20"/>
              </w:rPr>
              <w:t xml:space="preserve">bilities. </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1-2 digital inclusion research reports across regions</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Internet Society Fou</w:t>
            </w:r>
            <w:r>
              <w:rPr>
                <w:rFonts w:ascii="Helvetica" w:hAnsi="Helvetica"/>
                <w:sz w:val="20"/>
                <w:szCs w:val="20"/>
              </w:rPr>
              <w:t>n</w:t>
            </w:r>
            <w:r>
              <w:rPr>
                <w:rFonts w:ascii="Helvetica" w:hAnsi="Helvetica"/>
                <w:sz w:val="20"/>
                <w:szCs w:val="20"/>
              </w:rPr>
              <w:t>dation in collaboration with ASG</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Annual</w:t>
            </w:r>
          </w:p>
        </w:tc>
      </w:tr>
      <w:tr w:rsidR="003A3F3A">
        <w:tblPrEx>
          <w:shd w:val="clear" w:color="auto" w:fill="CEDDEB"/>
        </w:tblPrEx>
        <w:trPr>
          <w:trHeight w:val="295"/>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3A3F3A"/>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3A3F3A"/>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3A3F3A"/>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3A3F3A"/>
        </w:tc>
      </w:tr>
      <w:tr w:rsidR="003A3F3A">
        <w:tblPrEx>
          <w:shd w:val="clear" w:color="auto" w:fill="CEDDEB"/>
        </w:tblPrEx>
        <w:trPr>
          <w:trHeight w:val="1690"/>
        </w:trPr>
        <w:tc>
          <w:tcPr>
            <w:tcW w:w="41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Earmark specific budget for accessibility in</w:t>
            </w:r>
            <w:r>
              <w:rPr>
                <w:rFonts w:ascii="Helvetica" w:hAnsi="Helvetica"/>
                <w:sz w:val="20"/>
                <w:szCs w:val="20"/>
              </w:rPr>
              <w:t>i</w:t>
            </w:r>
            <w:r>
              <w:rPr>
                <w:rFonts w:ascii="Helvetica" w:hAnsi="Helvetica"/>
                <w:sz w:val="20"/>
                <w:szCs w:val="20"/>
              </w:rPr>
              <w:t xml:space="preserve">tiatives </w:t>
            </w:r>
          </w:p>
        </w:tc>
        <w:tc>
          <w:tcPr>
            <w:tcW w:w="61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Specific budget allocated for accessibility by all departments</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All department heads/ CEO/ finance and a</w:t>
            </w:r>
            <w:r>
              <w:rPr>
                <w:rFonts w:ascii="Helvetica" w:hAnsi="Helvetica"/>
                <w:sz w:val="20"/>
                <w:szCs w:val="20"/>
              </w:rPr>
              <w:t>d</w:t>
            </w:r>
            <w:r>
              <w:rPr>
                <w:rFonts w:ascii="Helvetica" w:hAnsi="Helvetica"/>
                <w:sz w:val="20"/>
                <w:szCs w:val="20"/>
              </w:rPr>
              <w:t>min teams</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To be done annually at the beginning of the financial year along with the ove</w:t>
            </w:r>
            <w:r>
              <w:rPr>
                <w:rFonts w:ascii="Helvetica" w:hAnsi="Helvetica"/>
                <w:sz w:val="20"/>
                <w:szCs w:val="20"/>
              </w:rPr>
              <w:t>r</w:t>
            </w:r>
            <w:r>
              <w:rPr>
                <w:rFonts w:ascii="Helvetica" w:hAnsi="Helvetica"/>
                <w:sz w:val="20"/>
                <w:szCs w:val="20"/>
              </w:rPr>
              <w:t>all depar</w:t>
            </w:r>
            <w:r>
              <w:rPr>
                <w:rFonts w:ascii="Helvetica" w:hAnsi="Helvetica"/>
                <w:sz w:val="20"/>
                <w:szCs w:val="20"/>
              </w:rPr>
              <w:t>tment/ o</w:t>
            </w:r>
            <w:r>
              <w:rPr>
                <w:rFonts w:ascii="Helvetica" w:hAnsi="Helvetica"/>
                <w:sz w:val="20"/>
                <w:szCs w:val="20"/>
              </w:rPr>
              <w:t>r</w:t>
            </w:r>
            <w:r>
              <w:rPr>
                <w:rFonts w:ascii="Helvetica" w:hAnsi="Helvetica"/>
                <w:sz w:val="20"/>
                <w:szCs w:val="20"/>
              </w:rPr>
              <w:t>ganizational  budget</w:t>
            </w:r>
          </w:p>
        </w:tc>
      </w:tr>
    </w:tbl>
    <w:p w:rsidR="003A3F3A" w:rsidRDefault="003A3F3A">
      <w:pPr>
        <w:pStyle w:val="BodyA"/>
        <w:widowControl w:val="0"/>
        <w:ind w:left="216" w:hanging="216"/>
      </w:pPr>
    </w:p>
    <w:p w:rsidR="003A3F3A" w:rsidRDefault="003A3F3A">
      <w:pPr>
        <w:pStyle w:val="BodyA"/>
        <w:widowControl w:val="0"/>
        <w:ind w:left="108" w:hanging="108"/>
      </w:pPr>
    </w:p>
    <w:p w:rsidR="003A3F3A" w:rsidRDefault="003A3F3A">
      <w:pPr>
        <w:pStyle w:val="BodyA"/>
      </w:pPr>
    </w:p>
    <w:p w:rsidR="003A3F3A" w:rsidRDefault="00F64430">
      <w:pPr>
        <w:pStyle w:val="BodyA"/>
      </w:pPr>
      <w:r>
        <w:rPr>
          <w:rFonts w:ascii="Arial Unicode MS" w:hAnsi="Arial Unicode MS"/>
        </w:rPr>
        <w:br w:type="page"/>
      </w:r>
    </w:p>
    <w:p w:rsidR="003A3F3A" w:rsidRDefault="003A3F3A">
      <w:pPr>
        <w:pStyle w:val="BodyA"/>
      </w:pPr>
    </w:p>
    <w:p w:rsidR="003A3F3A" w:rsidRDefault="00F64430">
      <w:pPr>
        <w:pStyle w:val="BodyA"/>
        <w:rPr>
          <w:b/>
          <w:bCs/>
          <w:sz w:val="28"/>
          <w:szCs w:val="28"/>
        </w:rPr>
      </w:pPr>
      <w:r>
        <w:rPr>
          <w:b/>
          <w:bCs/>
          <w:sz w:val="28"/>
          <w:szCs w:val="28"/>
        </w:rPr>
        <w:t xml:space="preserve">Strategy 2 – </w:t>
      </w:r>
      <w:proofErr w:type="spellStart"/>
      <w:r>
        <w:rPr>
          <w:b/>
          <w:bCs/>
          <w:sz w:val="28"/>
          <w:szCs w:val="28"/>
        </w:rPr>
        <w:t>Minimising</w:t>
      </w:r>
      <w:proofErr w:type="spellEnd"/>
      <w:r>
        <w:rPr>
          <w:b/>
          <w:bCs/>
          <w:sz w:val="28"/>
          <w:szCs w:val="28"/>
        </w:rPr>
        <w:t xml:space="preserve"> barriers to participation and engagement with Internet Society content, services, processes and practices</w:t>
      </w:r>
    </w:p>
    <w:p w:rsidR="003A3F3A" w:rsidRDefault="003A3F3A">
      <w:pPr>
        <w:pStyle w:val="BodyA"/>
        <w:rPr>
          <w:b/>
          <w:bCs/>
          <w:sz w:val="28"/>
          <w:szCs w:val="28"/>
        </w:rPr>
      </w:pPr>
    </w:p>
    <w:p w:rsidR="003A3F3A" w:rsidRDefault="00F64430">
      <w:pPr>
        <w:pStyle w:val="BodyA"/>
      </w:pPr>
      <w:r>
        <w:t xml:space="preserve">The Internet Society and the Internet Society Accessibility Standing Group will work </w:t>
      </w:r>
      <w:r>
        <w:t>together to encourage the organization and community to adopt approaches that help make interaction with the Internet Society across its content and operations more accessible to more people. Internet Society will consider all types of disabilities when cr</w:t>
      </w:r>
      <w:r>
        <w:t>eating any content or hosting any event; the inclusion strategies should not be limited to a few types of disabilities, therefore joint consultation with the Accessibility Standing Group and other stakeholders will be carried out.</w:t>
      </w:r>
    </w:p>
    <w:p w:rsidR="003A3F3A" w:rsidRDefault="003A3F3A">
      <w:pPr>
        <w:pStyle w:val="BodyA"/>
      </w:pPr>
    </w:p>
    <w:p w:rsidR="003A3F3A" w:rsidRDefault="003A3F3A">
      <w:pPr>
        <w:pStyle w:val="BodyA"/>
      </w:pPr>
    </w:p>
    <w:tbl>
      <w:tblPr>
        <w:tblW w:w="145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642"/>
        <w:gridCol w:w="6668"/>
        <w:gridCol w:w="2232"/>
        <w:gridCol w:w="2025"/>
      </w:tblGrid>
      <w:tr w:rsidR="003A3F3A">
        <w:trPr>
          <w:trHeight w:val="289"/>
          <w:tblHeader/>
        </w:trPr>
        <w:tc>
          <w:tcPr>
            <w:tcW w:w="36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Action</w:t>
            </w:r>
          </w:p>
        </w:tc>
        <w:tc>
          <w:tcPr>
            <w:tcW w:w="66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Measure of succe</w:t>
            </w:r>
            <w:r>
              <w:t>ss/Performance Indicator</w:t>
            </w:r>
          </w:p>
        </w:tc>
        <w:tc>
          <w:tcPr>
            <w:tcW w:w="22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Responsibility</w:t>
            </w:r>
          </w:p>
        </w:tc>
        <w:tc>
          <w:tcPr>
            <w:tcW w:w="202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A3F3A" w:rsidRDefault="00F64430">
            <w:pPr>
              <w:pStyle w:val="TableStyle1A"/>
            </w:pPr>
            <w:r>
              <w:t>Timeframe</w:t>
            </w:r>
          </w:p>
        </w:tc>
      </w:tr>
      <w:tr w:rsidR="003A3F3A">
        <w:tblPrEx>
          <w:shd w:val="clear" w:color="auto" w:fill="CEDDEB"/>
        </w:tblPrEx>
        <w:trPr>
          <w:trHeight w:val="1940"/>
        </w:trPr>
        <w:tc>
          <w:tcPr>
            <w:tcW w:w="3642" w:type="dxa"/>
            <w:tcBorders>
              <w:top w:val="single" w:sz="4"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Develop an Internet Society policy, or set of guidelines, on web accessibility. Encourage the use of internationally recognized accessibility standards within the Internet Society and across its partner or</w:t>
            </w:r>
            <w:r>
              <w:rPr>
                <w:rFonts w:ascii="Helvetica" w:hAnsi="Helvetica"/>
                <w:sz w:val="20"/>
                <w:szCs w:val="20"/>
              </w:rPr>
              <w:t xml:space="preserve">ganizations, particularly for </w:t>
            </w:r>
            <w:proofErr w:type="spellStart"/>
            <w:r>
              <w:rPr>
                <w:rFonts w:ascii="Helvetica" w:hAnsi="Helvetica"/>
                <w:sz w:val="20"/>
                <w:szCs w:val="20"/>
              </w:rPr>
              <w:t>multistakeholder</w:t>
            </w:r>
            <w:proofErr w:type="spellEnd"/>
            <w:r>
              <w:rPr>
                <w:rFonts w:ascii="Helvetica" w:hAnsi="Helvetica"/>
                <w:sz w:val="20"/>
                <w:szCs w:val="20"/>
              </w:rPr>
              <w:t xml:space="preserve"> events </w:t>
            </w:r>
          </w:p>
        </w:tc>
        <w:tc>
          <w:tcPr>
            <w:tcW w:w="6668"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The Board of Trustees resolution 2023-8: Approve Policy on Accessibility for Persons with Disabilities.</w:t>
            </w:r>
          </w:p>
        </w:tc>
        <w:tc>
          <w:tcPr>
            <w:tcW w:w="2232"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proofErr w:type="spellStart"/>
            <w:r>
              <w:t>BoT</w:t>
            </w:r>
            <w:proofErr w:type="spellEnd"/>
            <w:r>
              <w:t xml:space="preserve">/CEO </w:t>
            </w:r>
          </w:p>
        </w:tc>
        <w:tc>
          <w:tcPr>
            <w:tcW w:w="2025"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2023</w:t>
            </w:r>
          </w:p>
        </w:tc>
      </w:tr>
      <w:tr w:rsidR="003A3F3A">
        <w:tblPrEx>
          <w:shd w:val="clear" w:color="auto" w:fill="CEDDEB"/>
        </w:tblPrEx>
        <w:trPr>
          <w:trHeight w:val="1448"/>
        </w:trPr>
        <w:tc>
          <w:tcPr>
            <w:tcW w:w="3642"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 xml:space="preserve">Produce all Internet Society content, whether online or physical, with </w:t>
            </w:r>
            <w:r>
              <w:rPr>
                <w:rFonts w:ascii="Helvetica" w:hAnsi="Helvetica"/>
                <w:sz w:val="20"/>
                <w:szCs w:val="20"/>
              </w:rPr>
              <w:t>acce</w:t>
            </w:r>
            <w:r>
              <w:rPr>
                <w:rFonts w:ascii="Helvetica" w:hAnsi="Helvetica"/>
                <w:sz w:val="20"/>
                <w:szCs w:val="20"/>
              </w:rPr>
              <w:t>s</w:t>
            </w:r>
            <w:r>
              <w:rPr>
                <w:rFonts w:ascii="Helvetica" w:hAnsi="Helvetica"/>
                <w:sz w:val="20"/>
                <w:szCs w:val="20"/>
              </w:rPr>
              <w:t>sibility in mind from the outset.</w:t>
            </w:r>
          </w:p>
        </w:tc>
        <w:tc>
          <w:tcPr>
            <w:tcW w:w="666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 xml:space="preserve">All ISOC content, including audio-visual media and electronic documents that is shared, published, referenced or otherwise communicated through ISOC channels, is accessible based on WCAG 2.1 Level AA. However, issues </w:t>
            </w:r>
            <w:r>
              <w:t xml:space="preserve">with legacy content are </w:t>
            </w:r>
            <w:proofErr w:type="spellStart"/>
            <w:r>
              <w:t>recognised</w:t>
            </w:r>
            <w:proofErr w:type="spellEnd"/>
            <w:r>
              <w:t xml:space="preserve">. </w:t>
            </w:r>
          </w:p>
          <w:p w:rsidR="003A3F3A" w:rsidRDefault="00F64430">
            <w:pPr>
              <w:pStyle w:val="TableStyle2A"/>
            </w:pPr>
            <w:r>
              <w:t>Companies contracted with have demonstrated experience in accessibi</w:t>
            </w:r>
            <w:r>
              <w:t>l</w:t>
            </w:r>
            <w:r>
              <w:t xml:space="preserve">ity. </w:t>
            </w:r>
          </w:p>
        </w:tc>
        <w:tc>
          <w:tcPr>
            <w:tcW w:w="22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
            </w:pPr>
            <w:proofErr w:type="spellStart"/>
            <w:r>
              <w:rPr>
                <w:rFonts w:ascii="Helvetica" w:hAnsi="Helvetica"/>
                <w:sz w:val="20"/>
                <w:szCs w:val="20"/>
              </w:rPr>
              <w:t>Comms</w:t>
            </w:r>
            <w:proofErr w:type="spellEnd"/>
            <w:r>
              <w:rPr>
                <w:rFonts w:ascii="Helvetica" w:hAnsi="Helvetica"/>
                <w:sz w:val="20"/>
                <w:szCs w:val="20"/>
              </w:rPr>
              <w:t xml:space="preserve"> team</w:t>
            </w:r>
          </w:p>
          <w:p w:rsidR="003A3F3A" w:rsidRDefault="00F64430">
            <w:pPr>
              <w:pStyle w:val="Body"/>
            </w:pPr>
            <w:r>
              <w:rPr>
                <w:rFonts w:ascii="Helvetica" w:hAnsi="Helvetica"/>
                <w:sz w:val="20"/>
                <w:szCs w:val="20"/>
              </w:rPr>
              <w:t>Content owners</w:t>
            </w:r>
          </w:p>
        </w:tc>
        <w:tc>
          <w:tcPr>
            <w:tcW w:w="202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Maintaining and u</w:t>
            </w:r>
            <w:r>
              <w:t>p</w:t>
            </w:r>
            <w:r>
              <w:t>dating accessible content will be an on-going process.</w:t>
            </w:r>
          </w:p>
        </w:tc>
      </w:tr>
      <w:tr w:rsidR="003A3F3A">
        <w:tblPrEx>
          <w:shd w:val="clear" w:color="auto" w:fill="CEDDEB"/>
        </w:tblPrEx>
        <w:trPr>
          <w:trHeight w:val="1213"/>
        </w:trPr>
        <w:tc>
          <w:tcPr>
            <w:tcW w:w="3642" w:type="dxa"/>
            <w:tcBorders>
              <w:top w:val="single" w:sz="2"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rsidR="003A3F3A" w:rsidRDefault="00F64430">
            <w:pPr>
              <w:pStyle w:val="TableStyle1A"/>
            </w:pPr>
            <w:r>
              <w:rPr>
                <w:b w:val="0"/>
                <w:bCs w:val="0"/>
              </w:rPr>
              <w:t>Create and maintain an accessible content training module for staff, as part of the wider content training offe</w:t>
            </w:r>
            <w:r>
              <w:rPr>
                <w:b w:val="0"/>
                <w:bCs w:val="0"/>
              </w:rPr>
              <w:t>r</w:t>
            </w:r>
            <w:r>
              <w:rPr>
                <w:b w:val="0"/>
                <w:bCs w:val="0"/>
              </w:rPr>
              <w:t xml:space="preserve">ing </w:t>
            </w:r>
          </w:p>
        </w:tc>
        <w:tc>
          <w:tcPr>
            <w:tcW w:w="6668" w:type="dxa"/>
            <w:tcBorders>
              <w:top w:val="single" w:sz="2" w:space="0" w:color="000000"/>
              <w:left w:val="single" w:sz="4" w:space="0" w:color="000000"/>
              <w:bottom w:val="single" w:sz="4" w:space="0" w:color="000000"/>
              <w:right w:val="single" w:sz="2" w:space="0" w:color="000000"/>
            </w:tcBorders>
            <w:shd w:val="clear" w:color="auto" w:fill="EEEEEE"/>
            <w:tcMar>
              <w:top w:w="80" w:type="dxa"/>
              <w:left w:w="80" w:type="dxa"/>
              <w:bottom w:w="80" w:type="dxa"/>
              <w:right w:w="80" w:type="dxa"/>
            </w:tcMar>
          </w:tcPr>
          <w:p w:rsidR="003A3F3A" w:rsidRDefault="00F64430">
            <w:pPr>
              <w:pStyle w:val="TableStyle2A"/>
            </w:pPr>
            <w:r>
              <w:t xml:space="preserve">Content training module is developed including methods for the creation of accessible online or physical documents. Current content module </w:t>
            </w:r>
            <w:r>
              <w:t>is extended to incorporate accessibility requirements based on WCAG 2.1 Level AA.</w:t>
            </w:r>
          </w:p>
        </w:tc>
        <w:tc>
          <w:tcPr>
            <w:tcW w:w="2232" w:type="dxa"/>
            <w:tcBorders>
              <w:top w:val="single" w:sz="2" w:space="0" w:color="000000"/>
              <w:left w:val="single" w:sz="2" w:space="0" w:color="000000"/>
              <w:bottom w:val="single" w:sz="4" w:space="0" w:color="000000"/>
              <w:right w:val="single" w:sz="2" w:space="0" w:color="000000"/>
            </w:tcBorders>
            <w:shd w:val="clear" w:color="auto" w:fill="EEEEEE"/>
            <w:tcMar>
              <w:top w:w="80" w:type="dxa"/>
              <w:left w:w="80" w:type="dxa"/>
              <w:bottom w:w="80" w:type="dxa"/>
              <w:right w:w="80" w:type="dxa"/>
            </w:tcMar>
          </w:tcPr>
          <w:p w:rsidR="003A3F3A" w:rsidRDefault="00F64430">
            <w:pPr>
              <w:pStyle w:val="BodyB"/>
            </w:pPr>
            <w:proofErr w:type="spellStart"/>
            <w:r>
              <w:rPr>
                <w:rFonts w:ascii="Helvetica" w:hAnsi="Helvetica"/>
                <w:sz w:val="20"/>
                <w:szCs w:val="20"/>
              </w:rPr>
              <w:t>Comms</w:t>
            </w:r>
            <w:proofErr w:type="spellEnd"/>
            <w:r>
              <w:rPr>
                <w:rFonts w:ascii="Helvetica" w:hAnsi="Helvetica"/>
                <w:sz w:val="20"/>
                <w:szCs w:val="20"/>
              </w:rPr>
              <w:t xml:space="preserve"> team/HR</w:t>
            </w:r>
          </w:p>
        </w:tc>
        <w:tc>
          <w:tcPr>
            <w:tcW w:w="2025" w:type="dxa"/>
            <w:tcBorders>
              <w:top w:val="single" w:sz="2" w:space="0" w:color="000000"/>
              <w:left w:val="single" w:sz="2" w:space="0" w:color="000000"/>
              <w:bottom w:val="single" w:sz="4" w:space="0" w:color="000000"/>
              <w:right w:val="single" w:sz="2" w:space="0" w:color="000000"/>
            </w:tcBorders>
            <w:shd w:val="clear" w:color="auto" w:fill="EEEEEE"/>
            <w:tcMar>
              <w:top w:w="80" w:type="dxa"/>
              <w:left w:w="80" w:type="dxa"/>
              <w:bottom w:w="80" w:type="dxa"/>
              <w:right w:w="80" w:type="dxa"/>
            </w:tcMar>
          </w:tcPr>
          <w:p w:rsidR="003A3F3A" w:rsidRDefault="00F64430">
            <w:pPr>
              <w:pStyle w:val="TableStyle2A"/>
            </w:pPr>
            <w:r>
              <w:t xml:space="preserve">First quarter 2024. </w:t>
            </w:r>
          </w:p>
          <w:p w:rsidR="003A3F3A" w:rsidRDefault="00F64430">
            <w:pPr>
              <w:pStyle w:val="TableStyle2A"/>
            </w:pPr>
            <w:r>
              <w:t>Required training for new staff/annual training for all exis</w:t>
            </w:r>
            <w:r>
              <w:t>t</w:t>
            </w:r>
            <w:r>
              <w:t>ing staff</w:t>
            </w:r>
          </w:p>
        </w:tc>
      </w:tr>
      <w:tr w:rsidR="003A3F3A">
        <w:tblPrEx>
          <w:shd w:val="clear" w:color="auto" w:fill="CEDDEB"/>
        </w:tblPrEx>
        <w:trPr>
          <w:trHeight w:val="988"/>
        </w:trPr>
        <w:tc>
          <w:tcPr>
            <w:tcW w:w="3642" w:type="dxa"/>
            <w:tcBorders>
              <w:top w:val="single" w:sz="4"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Use accessible tools for web confe</w:t>
            </w:r>
            <w:r>
              <w:rPr>
                <w:rFonts w:ascii="Helvetica" w:hAnsi="Helvetica"/>
                <w:sz w:val="20"/>
                <w:szCs w:val="20"/>
              </w:rPr>
              <w:t>r</w:t>
            </w:r>
            <w:r>
              <w:rPr>
                <w:rFonts w:ascii="Helvetica" w:hAnsi="Helvetica"/>
                <w:sz w:val="20"/>
                <w:szCs w:val="20"/>
              </w:rPr>
              <w:t>encing, LMS and collaboration pla</w:t>
            </w:r>
            <w:r>
              <w:rPr>
                <w:rFonts w:ascii="Helvetica" w:hAnsi="Helvetica"/>
                <w:sz w:val="20"/>
                <w:szCs w:val="20"/>
              </w:rPr>
              <w:t>t</w:t>
            </w:r>
            <w:r>
              <w:rPr>
                <w:rFonts w:ascii="Helvetica" w:hAnsi="Helvetica"/>
                <w:sz w:val="20"/>
                <w:szCs w:val="20"/>
              </w:rPr>
              <w:t xml:space="preserve">forms </w:t>
            </w:r>
          </w:p>
        </w:tc>
        <w:tc>
          <w:tcPr>
            <w:tcW w:w="6668"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Accessibility audit of existing tools and platforms</w:t>
            </w:r>
          </w:p>
          <w:p w:rsidR="003A3F3A" w:rsidRDefault="00F64430">
            <w:pPr>
              <w:pStyle w:val="TableStyle2A"/>
            </w:pPr>
            <w:r>
              <w:t>Remediation of accessibility issues across platforms</w:t>
            </w:r>
          </w:p>
          <w:p w:rsidR="003A3F3A" w:rsidRDefault="00F64430">
            <w:pPr>
              <w:pStyle w:val="TableStyle2A"/>
            </w:pPr>
            <w:r>
              <w:t>(Four online courses compliant with certification in 2023)</w:t>
            </w:r>
          </w:p>
        </w:tc>
        <w:tc>
          <w:tcPr>
            <w:tcW w:w="2232"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 xml:space="preserve">Systems &amp; </w:t>
            </w:r>
            <w:r>
              <w:t>Support/ e-learning</w:t>
            </w:r>
          </w:p>
        </w:tc>
        <w:tc>
          <w:tcPr>
            <w:tcW w:w="2025"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12 months</w:t>
            </w:r>
          </w:p>
          <w:p w:rsidR="003A3F3A" w:rsidRDefault="00F64430">
            <w:pPr>
              <w:pStyle w:val="TableStyle2A"/>
            </w:pPr>
            <w:r>
              <w:t>(Two online courses to be reviewed in 2024)</w:t>
            </w:r>
          </w:p>
        </w:tc>
      </w:tr>
      <w:tr w:rsidR="003A3F3A">
        <w:tblPrEx>
          <w:shd w:val="clear" w:color="auto" w:fill="CEDDEB"/>
        </w:tblPrEx>
        <w:trPr>
          <w:trHeight w:val="988"/>
        </w:trPr>
        <w:tc>
          <w:tcPr>
            <w:tcW w:w="3642"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lastRenderedPageBreak/>
              <w:t>Annual audit and reporting on access</w:t>
            </w:r>
            <w:r>
              <w:rPr>
                <w:rFonts w:ascii="Helvetica" w:hAnsi="Helvetica"/>
                <w:sz w:val="20"/>
                <w:szCs w:val="20"/>
              </w:rPr>
              <w:t>i</w:t>
            </w:r>
            <w:r>
              <w:rPr>
                <w:rFonts w:ascii="Helvetica" w:hAnsi="Helvetica"/>
                <w:sz w:val="20"/>
                <w:szCs w:val="20"/>
              </w:rPr>
              <w:t xml:space="preserve">bility of </w:t>
            </w:r>
            <w:r>
              <w:rPr>
                <w:rFonts w:ascii="Helvetica" w:hAnsi="Helvetica"/>
                <w:sz w:val="20"/>
                <w:szCs w:val="20"/>
              </w:rPr>
              <w:t> </w:t>
            </w:r>
            <w:r>
              <w:rPr>
                <w:rFonts w:ascii="Helvetica" w:hAnsi="Helvetica"/>
                <w:sz w:val="20"/>
                <w:szCs w:val="20"/>
              </w:rPr>
              <w:t>ISOC</w:t>
            </w:r>
            <w:r>
              <w:rPr>
                <w:rFonts w:ascii="Helvetica" w:hAnsi="Helvetica"/>
                <w:sz w:val="20"/>
                <w:szCs w:val="20"/>
              </w:rPr>
              <w:t>’</w:t>
            </w:r>
            <w:r>
              <w:rPr>
                <w:rFonts w:ascii="Helvetica" w:hAnsi="Helvetica"/>
                <w:sz w:val="20"/>
                <w:szCs w:val="20"/>
              </w:rPr>
              <w:t>s websites and content</w:t>
            </w:r>
          </w:p>
        </w:tc>
        <w:tc>
          <w:tcPr>
            <w:tcW w:w="666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rPr>
                <w:rFonts w:ascii="Helvetica" w:eastAsia="Helvetica" w:hAnsi="Helvetica" w:cs="Helvetica"/>
                <w:sz w:val="20"/>
                <w:szCs w:val="20"/>
              </w:rPr>
            </w:pPr>
            <w:r>
              <w:rPr>
                <w:rFonts w:ascii="Helvetica" w:hAnsi="Helvetica"/>
                <w:sz w:val="20"/>
                <w:szCs w:val="20"/>
              </w:rPr>
              <w:t>Audit carried out and report published.</w:t>
            </w:r>
          </w:p>
          <w:p w:rsidR="003A3F3A" w:rsidRDefault="00F64430">
            <w:pPr>
              <w:pStyle w:val="BodyB"/>
            </w:pPr>
            <w:r>
              <w:rPr>
                <w:rFonts w:ascii="Helvetica" w:hAnsi="Helvetica"/>
                <w:sz w:val="20"/>
                <w:szCs w:val="20"/>
              </w:rPr>
              <w:t xml:space="preserve">Companies contracted will have demonstrated experience in </w:t>
            </w:r>
            <w:r>
              <w:rPr>
                <w:rFonts w:ascii="Helvetica" w:hAnsi="Helvetica"/>
                <w:sz w:val="20"/>
                <w:szCs w:val="20"/>
              </w:rPr>
              <w:t>accessibility and will employ persons with disabilities as auditors.</w:t>
            </w:r>
          </w:p>
        </w:tc>
        <w:tc>
          <w:tcPr>
            <w:tcW w:w="22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Systems &amp; Support</w:t>
            </w:r>
          </w:p>
        </w:tc>
        <w:tc>
          <w:tcPr>
            <w:tcW w:w="202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Annually</w:t>
            </w:r>
          </w:p>
        </w:tc>
      </w:tr>
      <w:tr w:rsidR="003A3F3A">
        <w:tblPrEx>
          <w:shd w:val="clear" w:color="auto" w:fill="CEDDEB"/>
        </w:tblPrEx>
        <w:trPr>
          <w:trHeight w:val="1205"/>
        </w:trPr>
        <w:tc>
          <w:tcPr>
            <w:tcW w:w="36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Ensure that accessibility support co</w:t>
            </w:r>
            <w:r>
              <w:rPr>
                <w:rFonts w:ascii="Helvetica" w:hAnsi="Helvetica"/>
                <w:sz w:val="20"/>
                <w:szCs w:val="20"/>
              </w:rPr>
              <w:t>n</w:t>
            </w:r>
            <w:r>
              <w:rPr>
                <w:rFonts w:ascii="Helvetica" w:hAnsi="Helvetica"/>
                <w:sz w:val="20"/>
                <w:szCs w:val="20"/>
              </w:rPr>
              <w:t>tact info is clearly displayed on ISOC web pages and that the issue resol</w:t>
            </w:r>
            <w:r>
              <w:rPr>
                <w:rFonts w:ascii="Helvetica" w:hAnsi="Helvetica"/>
                <w:sz w:val="20"/>
                <w:szCs w:val="20"/>
              </w:rPr>
              <w:t>u</w:t>
            </w:r>
            <w:r>
              <w:rPr>
                <w:rFonts w:ascii="Helvetica" w:hAnsi="Helvetica"/>
                <w:sz w:val="20"/>
                <w:szCs w:val="20"/>
              </w:rPr>
              <w:t xml:space="preserve">tion process is simple and quick. </w:t>
            </w:r>
          </w:p>
        </w:tc>
        <w:tc>
          <w:tcPr>
            <w:tcW w:w="66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numPr>
                <w:ilvl w:val="0"/>
                <w:numId w:val="4"/>
              </w:numPr>
              <w:rPr>
                <w:rFonts w:ascii="Helvetica" w:hAnsi="Helvetica"/>
                <w:sz w:val="20"/>
                <w:szCs w:val="20"/>
              </w:rPr>
            </w:pPr>
            <w:r>
              <w:rPr>
                <w:rFonts w:ascii="Helvetica" w:hAnsi="Helvetica"/>
                <w:sz w:val="20"/>
                <w:szCs w:val="20"/>
              </w:rPr>
              <w:t>Accessibility</w:t>
            </w:r>
            <w:r>
              <w:rPr>
                <w:rFonts w:ascii="Helvetica" w:hAnsi="Helvetica"/>
                <w:sz w:val="20"/>
                <w:szCs w:val="20"/>
              </w:rPr>
              <w:t xml:space="preserve"> Statement in footer of webpages - the Statement may i</w:t>
            </w:r>
            <w:r>
              <w:rPr>
                <w:rFonts w:ascii="Helvetica" w:hAnsi="Helvetica"/>
                <w:sz w:val="20"/>
                <w:szCs w:val="20"/>
              </w:rPr>
              <w:t>n</w:t>
            </w:r>
            <w:r>
              <w:rPr>
                <w:rFonts w:ascii="Helvetica" w:hAnsi="Helvetica"/>
                <w:sz w:val="20"/>
                <w:szCs w:val="20"/>
              </w:rPr>
              <w:t>clude issues with legacy content</w:t>
            </w:r>
          </w:p>
          <w:p w:rsidR="003A3F3A" w:rsidRDefault="00F64430">
            <w:pPr>
              <w:pStyle w:val="BodyB"/>
              <w:numPr>
                <w:ilvl w:val="0"/>
                <w:numId w:val="4"/>
              </w:numPr>
              <w:rPr>
                <w:rFonts w:ascii="Helvetica" w:hAnsi="Helvetica"/>
                <w:sz w:val="20"/>
                <w:szCs w:val="20"/>
              </w:rPr>
            </w:pPr>
            <w:r>
              <w:rPr>
                <w:rFonts w:ascii="Helvetica" w:hAnsi="Helvetica"/>
                <w:sz w:val="20"/>
                <w:szCs w:val="20"/>
              </w:rPr>
              <w:t xml:space="preserve">Accessibility help is displayed clearly and prominently on ISOC web pages and is operational - currently general contact is </w:t>
            </w:r>
            <w:hyperlink r:id="rId9" w:history="1">
              <w:r>
                <w:rPr>
                  <w:rStyle w:val="Hyperlink0"/>
                  <w:rFonts w:ascii="Helvetica" w:hAnsi="Helvetica"/>
                  <w:sz w:val="20"/>
                  <w:szCs w:val="20"/>
                </w:rPr>
                <w:t>webf</w:t>
              </w:r>
              <w:r>
                <w:rPr>
                  <w:rStyle w:val="Hyperlink0"/>
                  <w:rFonts w:ascii="Helvetica" w:hAnsi="Helvetica"/>
                  <w:sz w:val="20"/>
                  <w:szCs w:val="20"/>
                </w:rPr>
                <w:t>ee</w:t>
              </w:r>
              <w:r>
                <w:rPr>
                  <w:rStyle w:val="Hyperlink0"/>
                  <w:rFonts w:ascii="Helvetica" w:hAnsi="Helvetica"/>
                  <w:sz w:val="20"/>
                  <w:szCs w:val="20"/>
                </w:rPr>
                <w:t>d</w:t>
              </w:r>
              <w:r>
                <w:rPr>
                  <w:rStyle w:val="Hyperlink0"/>
                  <w:rFonts w:ascii="Helvetica" w:hAnsi="Helvetica"/>
                  <w:sz w:val="20"/>
                  <w:szCs w:val="20"/>
                </w:rPr>
                <w:t>back@isoc.org</w:t>
              </w:r>
            </w:hyperlink>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Systems &amp; Support</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2 months</w:t>
            </w:r>
          </w:p>
        </w:tc>
      </w:tr>
      <w:tr w:rsidR="003A3F3A">
        <w:tblPrEx>
          <w:shd w:val="clear" w:color="auto" w:fill="CEDDEB"/>
        </w:tblPrEx>
        <w:trPr>
          <w:trHeight w:val="983"/>
        </w:trPr>
        <w:tc>
          <w:tcPr>
            <w:tcW w:w="364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Include questions on accessibility wit</w:t>
            </w:r>
            <w:r>
              <w:rPr>
                <w:rFonts w:ascii="Helvetica" w:hAnsi="Helvetica"/>
                <w:sz w:val="20"/>
                <w:szCs w:val="20"/>
              </w:rPr>
              <w:t>h</w:t>
            </w:r>
            <w:r>
              <w:rPr>
                <w:rFonts w:ascii="Helvetica" w:hAnsi="Helvetica"/>
                <w:sz w:val="20"/>
                <w:szCs w:val="20"/>
              </w:rPr>
              <w:t>in all feedback mechanisms to ensure that ISOC is constantly able to improve on accessibility.</w:t>
            </w:r>
          </w:p>
        </w:tc>
        <w:tc>
          <w:tcPr>
            <w:tcW w:w="66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 xml:space="preserve">Question on accessibility included in all feedback forms and action taken </w:t>
            </w:r>
            <w:r>
              <w:rPr>
                <w:rFonts w:ascii="Helvetica" w:hAnsi="Helvetica"/>
                <w:sz w:val="20"/>
                <w:szCs w:val="20"/>
              </w:rPr>
              <w:t>as needed</w:t>
            </w:r>
          </w:p>
        </w:tc>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rPr>
                <w:rFonts w:ascii="Helvetica" w:eastAsia="Helvetica" w:hAnsi="Helvetica" w:cs="Helvetica"/>
                <w:sz w:val="20"/>
                <w:szCs w:val="20"/>
              </w:rPr>
            </w:pPr>
            <w:proofErr w:type="spellStart"/>
            <w:r>
              <w:rPr>
                <w:rFonts w:ascii="Helvetica" w:hAnsi="Helvetica"/>
                <w:sz w:val="20"/>
                <w:szCs w:val="20"/>
              </w:rPr>
              <w:t>Comms</w:t>
            </w:r>
            <w:proofErr w:type="spellEnd"/>
            <w:r>
              <w:rPr>
                <w:rFonts w:ascii="Helvetica" w:hAnsi="Helvetica"/>
                <w:sz w:val="20"/>
                <w:szCs w:val="20"/>
              </w:rPr>
              <w:t xml:space="preserve"> team</w:t>
            </w:r>
          </w:p>
          <w:p w:rsidR="003A3F3A" w:rsidRDefault="00F64430">
            <w:pPr>
              <w:pStyle w:val="BodyB"/>
            </w:pPr>
            <w:r>
              <w:rPr>
                <w:rFonts w:ascii="Helvetica" w:hAnsi="Helvetica"/>
                <w:sz w:val="20"/>
                <w:szCs w:val="20"/>
              </w:rPr>
              <w:t>All departments</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BodyB"/>
            </w:pPr>
            <w:r>
              <w:rPr>
                <w:rFonts w:ascii="Helvetica" w:hAnsi="Helvetica"/>
                <w:sz w:val="20"/>
                <w:szCs w:val="20"/>
              </w:rPr>
              <w:t>Ongoing</w:t>
            </w:r>
          </w:p>
        </w:tc>
      </w:tr>
      <w:tr w:rsidR="003A3F3A">
        <w:tblPrEx>
          <w:shd w:val="clear" w:color="auto" w:fill="CEDDEB"/>
        </w:tblPrEx>
        <w:trPr>
          <w:trHeight w:val="983"/>
        </w:trPr>
        <w:tc>
          <w:tcPr>
            <w:tcW w:w="3642" w:type="dxa"/>
            <w:tcBorders>
              <w:top w:val="single" w:sz="2" w:space="0" w:color="000000"/>
              <w:left w:val="single" w:sz="2" w:space="0" w:color="000000"/>
              <w:bottom w:val="single" w:sz="4" w:space="0" w:color="000000"/>
              <w:right w:val="single" w:sz="4" w:space="0" w:color="000000"/>
            </w:tcBorders>
            <w:shd w:val="clear" w:color="auto" w:fill="E8EEF5"/>
            <w:tcMar>
              <w:top w:w="80" w:type="dxa"/>
              <w:left w:w="80" w:type="dxa"/>
              <w:bottom w:w="80" w:type="dxa"/>
              <w:right w:w="80" w:type="dxa"/>
            </w:tcMar>
          </w:tcPr>
          <w:p w:rsidR="003A3F3A" w:rsidRDefault="003A3F3A"/>
        </w:tc>
        <w:tc>
          <w:tcPr>
            <w:tcW w:w="6668" w:type="dxa"/>
            <w:tcBorders>
              <w:top w:val="single" w:sz="2" w:space="0" w:color="000000"/>
              <w:left w:val="single" w:sz="4" w:space="0" w:color="000000"/>
              <w:bottom w:val="single" w:sz="4" w:space="0" w:color="000000"/>
              <w:right w:val="single" w:sz="2" w:space="0" w:color="000000"/>
            </w:tcBorders>
            <w:shd w:val="clear" w:color="auto" w:fill="E8EEF5"/>
            <w:tcMar>
              <w:top w:w="80" w:type="dxa"/>
              <w:left w:w="80" w:type="dxa"/>
              <w:bottom w:w="80" w:type="dxa"/>
              <w:right w:w="80" w:type="dxa"/>
            </w:tcMar>
          </w:tcPr>
          <w:p w:rsidR="003A3F3A" w:rsidRDefault="003A3F3A"/>
        </w:tc>
        <w:tc>
          <w:tcPr>
            <w:tcW w:w="2232" w:type="dxa"/>
            <w:tcBorders>
              <w:top w:val="single" w:sz="2" w:space="0" w:color="000000"/>
              <w:left w:val="single" w:sz="2" w:space="0" w:color="000000"/>
              <w:bottom w:val="single" w:sz="4" w:space="0" w:color="000000"/>
              <w:right w:val="single" w:sz="2" w:space="0" w:color="000000"/>
            </w:tcBorders>
            <w:shd w:val="clear" w:color="auto" w:fill="E8EEF5"/>
            <w:tcMar>
              <w:top w:w="80" w:type="dxa"/>
              <w:left w:w="80" w:type="dxa"/>
              <w:bottom w:w="80" w:type="dxa"/>
              <w:right w:w="80" w:type="dxa"/>
            </w:tcMar>
          </w:tcPr>
          <w:p w:rsidR="003A3F3A" w:rsidRDefault="003A3F3A"/>
        </w:tc>
        <w:tc>
          <w:tcPr>
            <w:tcW w:w="2025" w:type="dxa"/>
            <w:tcBorders>
              <w:top w:val="single" w:sz="2" w:space="0" w:color="000000"/>
              <w:left w:val="single" w:sz="2" w:space="0" w:color="000000"/>
              <w:bottom w:val="single" w:sz="4" w:space="0" w:color="000000"/>
              <w:right w:val="single" w:sz="2" w:space="0" w:color="000000"/>
            </w:tcBorders>
            <w:shd w:val="clear" w:color="auto" w:fill="E8EEF5"/>
            <w:tcMar>
              <w:top w:w="80" w:type="dxa"/>
              <w:left w:w="80" w:type="dxa"/>
              <w:bottom w:w="80" w:type="dxa"/>
              <w:right w:w="80" w:type="dxa"/>
            </w:tcMar>
          </w:tcPr>
          <w:p w:rsidR="003A3F3A" w:rsidRDefault="003A3F3A"/>
        </w:tc>
      </w:tr>
      <w:tr w:rsidR="003A3F3A">
        <w:tblPrEx>
          <w:shd w:val="clear" w:color="auto" w:fill="CEDDEB"/>
        </w:tblPrEx>
        <w:trPr>
          <w:trHeight w:val="1218"/>
        </w:trPr>
        <w:tc>
          <w:tcPr>
            <w:tcW w:w="3642"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A3F3A" w:rsidRDefault="00F64430">
            <w:pPr>
              <w:pStyle w:val="BodyB"/>
            </w:pPr>
            <w:r>
              <w:rPr>
                <w:rFonts w:ascii="Helvetica" w:hAnsi="Helvetica"/>
                <w:sz w:val="20"/>
                <w:szCs w:val="20"/>
              </w:rPr>
              <w:t xml:space="preserve">Include accessibility standards and requirements </w:t>
            </w:r>
            <w:proofErr w:type="gramStart"/>
            <w:r>
              <w:rPr>
                <w:rFonts w:ascii="Helvetica" w:hAnsi="Helvetica"/>
                <w:sz w:val="20"/>
                <w:szCs w:val="20"/>
              </w:rPr>
              <w:t>as a criteria</w:t>
            </w:r>
            <w:proofErr w:type="gramEnd"/>
            <w:r>
              <w:rPr>
                <w:rFonts w:ascii="Helvetica" w:hAnsi="Helvetica"/>
                <w:sz w:val="20"/>
                <w:szCs w:val="20"/>
              </w:rPr>
              <w:t xml:space="preserve"> for all pro</w:t>
            </w:r>
            <w:r>
              <w:rPr>
                <w:rFonts w:ascii="Helvetica" w:hAnsi="Helvetica"/>
                <w:sz w:val="20"/>
                <w:szCs w:val="20"/>
              </w:rPr>
              <w:t>d</w:t>
            </w:r>
            <w:r>
              <w:rPr>
                <w:rFonts w:ascii="Helvetica" w:hAnsi="Helvetica"/>
                <w:sz w:val="20"/>
                <w:szCs w:val="20"/>
              </w:rPr>
              <w:t xml:space="preserve">ucts and services procured by ISOC. </w:t>
            </w:r>
          </w:p>
        </w:tc>
        <w:tc>
          <w:tcPr>
            <w:tcW w:w="666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Accessibility standards or requirements included within vendor agre</w:t>
            </w:r>
            <w:r>
              <w:t>e</w:t>
            </w:r>
            <w:r>
              <w:t xml:space="preserve">ments/ service contracts/ other relevant documentation. </w:t>
            </w:r>
            <w:proofErr w:type="gramStart"/>
            <w:r>
              <w:t>Reference  made</w:t>
            </w:r>
            <w:proofErr w:type="gramEnd"/>
            <w:r>
              <w:t xml:space="preserve"> to Section 508 and EN 301 549. </w:t>
            </w:r>
          </w:p>
        </w:tc>
        <w:tc>
          <w:tcPr>
            <w:tcW w:w="22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Systems &amp; Support</w:t>
            </w:r>
          </w:p>
          <w:p w:rsidR="003A3F3A" w:rsidRDefault="00F64430">
            <w:pPr>
              <w:pStyle w:val="TableStyle2A"/>
            </w:pPr>
            <w:r>
              <w:t>CFO</w:t>
            </w:r>
          </w:p>
          <w:p w:rsidR="003A3F3A" w:rsidRDefault="00F64430">
            <w:pPr>
              <w:pStyle w:val="TableStyle2A"/>
            </w:pPr>
            <w:r>
              <w:t>Legal team</w:t>
            </w:r>
          </w:p>
        </w:tc>
        <w:tc>
          <w:tcPr>
            <w:tcW w:w="202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3F3A" w:rsidRDefault="00F64430">
            <w:pPr>
              <w:pStyle w:val="TableStyle2A"/>
            </w:pPr>
            <w:r>
              <w:t>Ongoing</w:t>
            </w:r>
          </w:p>
        </w:tc>
      </w:tr>
    </w:tbl>
    <w:p w:rsidR="003A3F3A" w:rsidRDefault="003A3F3A">
      <w:pPr>
        <w:pStyle w:val="BodyA"/>
        <w:widowControl w:val="0"/>
        <w:ind w:left="216" w:hanging="216"/>
      </w:pPr>
    </w:p>
    <w:p w:rsidR="003A3F3A" w:rsidRDefault="003A3F3A">
      <w:pPr>
        <w:pStyle w:val="BodyA"/>
        <w:widowControl w:val="0"/>
        <w:ind w:left="108" w:hanging="108"/>
      </w:pPr>
    </w:p>
    <w:p w:rsidR="003A3F3A" w:rsidRDefault="003A3F3A">
      <w:pPr>
        <w:pStyle w:val="BodyA"/>
      </w:pPr>
    </w:p>
    <w:p w:rsidR="003A3F3A" w:rsidRDefault="00F64430">
      <w:pPr>
        <w:pStyle w:val="BodyA"/>
      </w:pPr>
      <w:r>
        <w:t xml:space="preserve"> </w:t>
      </w:r>
    </w:p>
    <w:sectPr w:rsidR="003A3F3A">
      <w:headerReference w:type="default" r:id="rId10"/>
      <w:footerReference w:type="default" r:id="rId11"/>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30" w:rsidRDefault="00F64430">
      <w:r>
        <w:separator/>
      </w:r>
    </w:p>
  </w:endnote>
  <w:endnote w:type="continuationSeparator" w:id="0">
    <w:p w:rsidR="00F64430" w:rsidRDefault="00F6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3A" w:rsidRDefault="003A3F3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30" w:rsidRDefault="00F64430">
      <w:r>
        <w:separator/>
      </w:r>
    </w:p>
  </w:footnote>
  <w:footnote w:type="continuationSeparator" w:id="0">
    <w:p w:rsidR="00F64430" w:rsidRDefault="00F6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3A" w:rsidRDefault="003A3F3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77C"/>
    <w:multiLevelType w:val="hybridMultilevel"/>
    <w:tmpl w:val="67966AFA"/>
    <w:lvl w:ilvl="0" w:tplc="763438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7CA6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63F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90A8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EC15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A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20CE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A0C9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5292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97F33DB"/>
    <w:multiLevelType w:val="hybridMultilevel"/>
    <w:tmpl w:val="210C454C"/>
    <w:lvl w:ilvl="0" w:tplc="C58408DA">
      <w:start w:val="1"/>
      <w:numFmt w:val="bullet"/>
      <w:lvlText w:val="•"/>
      <w:lvlJc w:val="left"/>
      <w:pPr>
        <w:ind w:left="1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B1EF65E">
      <w:start w:val="1"/>
      <w:numFmt w:val="bullet"/>
      <w:lvlText w:val="•"/>
      <w:lvlJc w:val="left"/>
      <w:pPr>
        <w:ind w:left="7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8F05A88">
      <w:start w:val="1"/>
      <w:numFmt w:val="bullet"/>
      <w:lvlText w:val="•"/>
      <w:lvlJc w:val="left"/>
      <w:pPr>
        <w:ind w:left="13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5A85F8C">
      <w:start w:val="1"/>
      <w:numFmt w:val="bullet"/>
      <w:lvlText w:val="•"/>
      <w:lvlJc w:val="left"/>
      <w:pPr>
        <w:ind w:left="19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2CFBB2">
      <w:start w:val="1"/>
      <w:numFmt w:val="bullet"/>
      <w:lvlText w:val="•"/>
      <w:lvlJc w:val="left"/>
      <w:pPr>
        <w:ind w:left="25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5CC0B18">
      <w:start w:val="1"/>
      <w:numFmt w:val="bullet"/>
      <w:lvlText w:val="•"/>
      <w:lvlJc w:val="left"/>
      <w:pPr>
        <w:ind w:left="31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002597C">
      <w:start w:val="1"/>
      <w:numFmt w:val="bullet"/>
      <w:lvlText w:val="•"/>
      <w:lvlJc w:val="left"/>
      <w:pPr>
        <w:ind w:left="37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924FDE0">
      <w:start w:val="1"/>
      <w:numFmt w:val="bullet"/>
      <w:lvlText w:val="•"/>
      <w:lvlJc w:val="left"/>
      <w:pPr>
        <w:ind w:left="43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D3EBC28">
      <w:start w:val="1"/>
      <w:numFmt w:val="bullet"/>
      <w:lvlText w:val="•"/>
      <w:lvlJc w:val="left"/>
      <w:pPr>
        <w:ind w:left="49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7085E88"/>
    <w:multiLevelType w:val="hybridMultilevel"/>
    <w:tmpl w:val="C88C2DB2"/>
    <w:lvl w:ilvl="0" w:tplc="6E845030">
      <w:start w:val="1"/>
      <w:numFmt w:val="bullet"/>
      <w:lvlText w:val="•"/>
      <w:lvlJc w:val="left"/>
      <w:pPr>
        <w:ind w:left="1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F44FBA">
      <w:start w:val="1"/>
      <w:numFmt w:val="bullet"/>
      <w:lvlText w:val="•"/>
      <w:lvlJc w:val="left"/>
      <w:pPr>
        <w:ind w:left="7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44A8E36">
      <w:start w:val="1"/>
      <w:numFmt w:val="bullet"/>
      <w:lvlText w:val="•"/>
      <w:lvlJc w:val="left"/>
      <w:pPr>
        <w:ind w:left="13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B28A380">
      <w:start w:val="1"/>
      <w:numFmt w:val="bullet"/>
      <w:lvlText w:val="•"/>
      <w:lvlJc w:val="left"/>
      <w:pPr>
        <w:ind w:left="19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F63ADA">
      <w:start w:val="1"/>
      <w:numFmt w:val="bullet"/>
      <w:lvlText w:val="•"/>
      <w:lvlJc w:val="left"/>
      <w:pPr>
        <w:ind w:left="25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09250C0">
      <w:start w:val="1"/>
      <w:numFmt w:val="bullet"/>
      <w:lvlText w:val="•"/>
      <w:lvlJc w:val="left"/>
      <w:pPr>
        <w:ind w:left="31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6D269E4">
      <w:start w:val="1"/>
      <w:numFmt w:val="bullet"/>
      <w:lvlText w:val="•"/>
      <w:lvlJc w:val="left"/>
      <w:pPr>
        <w:ind w:left="37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0A4FEFC">
      <w:start w:val="1"/>
      <w:numFmt w:val="bullet"/>
      <w:lvlText w:val="•"/>
      <w:lvlJc w:val="left"/>
      <w:pPr>
        <w:ind w:left="43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268EFA8">
      <w:start w:val="1"/>
      <w:numFmt w:val="bullet"/>
      <w:lvlText w:val="•"/>
      <w:lvlJc w:val="left"/>
      <w:pPr>
        <w:ind w:left="49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EB40FD3"/>
    <w:multiLevelType w:val="hybridMultilevel"/>
    <w:tmpl w:val="99D61D0E"/>
    <w:lvl w:ilvl="0" w:tplc="1C149B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02F3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D86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A55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64B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FA5E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EE1A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7665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444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A3F3A"/>
    <w:rsid w:val="002822B4"/>
    <w:rsid w:val="003A3F3A"/>
    <w:rsid w:val="007508B0"/>
    <w:rsid w:val="00A32BCA"/>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TableStyle1A">
    <w:name w:val="Table Style 1 A"/>
    <w:rPr>
      <w:rFonts w:ascii="Helvetica" w:hAnsi="Helvetica" w:cs="Arial Unicode MS"/>
      <w:b/>
      <w:bCs/>
      <w:color w:val="000000"/>
      <w:u w:color="000000"/>
    </w:rPr>
  </w:style>
  <w:style w:type="paragraph" w:customStyle="1" w:styleId="BodyB">
    <w:name w:val="Body B"/>
    <w:rPr>
      <w:rFonts w:cs="Arial Unicode MS"/>
      <w:color w:val="000000"/>
      <w:sz w:val="24"/>
      <w:szCs w:val="24"/>
      <w:u w:color="000000"/>
    </w:rPr>
  </w:style>
  <w:style w:type="paragraph" w:customStyle="1" w:styleId="TableStyle2A">
    <w:name w:val="Table Style 2 A"/>
    <w:rPr>
      <w:rFonts w:ascii="Helvetica" w:hAnsi="Helvetica" w:cs="Arial Unicode MS"/>
      <w:color w:val="000000"/>
      <w:u w:color="000000"/>
    </w:rPr>
  </w:style>
  <w:style w:type="paragraph" w:styleId="ListParagraph">
    <w:name w:val="List Paragraph"/>
    <w:pPr>
      <w:ind w:left="72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TableStyle1A">
    <w:name w:val="Table Style 1 A"/>
    <w:rPr>
      <w:rFonts w:ascii="Helvetica" w:hAnsi="Helvetica" w:cs="Arial Unicode MS"/>
      <w:b/>
      <w:bCs/>
      <w:color w:val="000000"/>
      <w:u w:color="000000"/>
    </w:rPr>
  </w:style>
  <w:style w:type="paragraph" w:customStyle="1" w:styleId="BodyB">
    <w:name w:val="Body B"/>
    <w:rPr>
      <w:rFonts w:cs="Arial Unicode MS"/>
      <w:color w:val="000000"/>
      <w:sz w:val="24"/>
      <w:szCs w:val="24"/>
      <w:u w:color="000000"/>
    </w:rPr>
  </w:style>
  <w:style w:type="paragraph" w:customStyle="1" w:styleId="TableStyle2A">
    <w:name w:val="Table Style 2 A"/>
    <w:rPr>
      <w:rFonts w:ascii="Helvetica" w:hAnsi="Helvetica" w:cs="Arial Unicode MS"/>
      <w:color w:val="000000"/>
      <w:u w:color="000000"/>
    </w:rPr>
  </w:style>
  <w:style w:type="paragraph" w:styleId="ListParagraph">
    <w:name w:val="List Paragraph"/>
    <w:pPr>
      <w:ind w:left="72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bfeedback@isoc.org" TargetMode="External"/></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Society Disability Inclusion Action Plan 1.2</dc:title>
  <dc:creator>Accessibility Standing Group</dc:creator>
  <cp:lastModifiedBy>joly macfie</cp:lastModifiedBy>
  <cp:revision>2</cp:revision>
  <dcterms:created xsi:type="dcterms:W3CDTF">2024-02-22T01:45:00Z</dcterms:created>
  <dcterms:modified xsi:type="dcterms:W3CDTF">2024-02-22T01:45:00Z</dcterms:modified>
</cp:coreProperties>
</file>